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6258" w14:textId="77777777" w:rsidR="00E468FA" w:rsidRDefault="00E468FA" w:rsidP="00E468FA">
      <w:pPr>
        <w:jc w:val="center"/>
      </w:pPr>
    </w:p>
    <w:p w14:paraId="249E0B6D" w14:textId="1BCEC2E4" w:rsidR="00663860" w:rsidRPr="00792541" w:rsidRDefault="004C53C2" w:rsidP="00792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92541">
        <w:rPr>
          <w:b/>
          <w:bCs/>
        </w:rPr>
        <w:t>LSA ET IBR : quels impacts ?</w:t>
      </w:r>
    </w:p>
    <w:p w14:paraId="709B6E80" w14:textId="4E9BEFB2" w:rsidR="00672252" w:rsidRDefault="00672252" w:rsidP="00792541">
      <w:pPr>
        <w:jc w:val="both"/>
      </w:pPr>
      <w:r>
        <w:t>Le 21 juin 2021 GDS France a diffusé à ses partenaires le</w:t>
      </w:r>
      <w:r w:rsidR="00DB3D68">
        <w:t xml:space="preserve"> projet d’adaptation du programme IBR à la LSA. Certains points sont encore à définir, d’autres ont été validés. </w:t>
      </w:r>
    </w:p>
    <w:p w14:paraId="44ECC85D" w14:textId="6ABEB084" w:rsidR="00C40C74" w:rsidRDefault="00C40C74" w:rsidP="00792541">
      <w:pPr>
        <w:jc w:val="both"/>
      </w:pPr>
      <w:r w:rsidRPr="00C40C74">
        <w:t>Globalement la LSA va permettre d’une part l’allègement de la surveillance pour les cheptels identifiés comme indemnes non à risques, et</w:t>
      </w:r>
      <w:r>
        <w:t xml:space="preserve"> d’autre part </w:t>
      </w:r>
      <w:r w:rsidRPr="00C40C74">
        <w:t xml:space="preserve">un renforcement des </w:t>
      </w:r>
      <w:r w:rsidR="00885FA7">
        <w:t>mesures de lutte</w:t>
      </w:r>
      <w:r w:rsidRPr="00C40C74">
        <w:t xml:space="preserve"> pour les autres.</w:t>
      </w:r>
    </w:p>
    <w:p w14:paraId="1C3943AC" w14:textId="5467EE94" w:rsidR="00A022A5" w:rsidRPr="00885FA7" w:rsidRDefault="00A022A5" w:rsidP="00792541">
      <w:pPr>
        <w:jc w:val="both"/>
        <w:rPr>
          <w:u w:val="single"/>
        </w:rPr>
      </w:pPr>
      <w:r w:rsidRPr="00885FA7">
        <w:rPr>
          <w:u w:val="single"/>
        </w:rPr>
        <w:t>PROPHYLAXIE</w:t>
      </w:r>
      <w:r w:rsidR="00C40C74" w:rsidRPr="00885FA7">
        <w:rPr>
          <w:u w:val="single"/>
        </w:rPr>
        <w:t>S</w:t>
      </w:r>
      <w:r w:rsidRPr="00885FA7">
        <w:rPr>
          <w:u w:val="single"/>
        </w:rPr>
        <w:t xml:space="preserve"> : </w:t>
      </w:r>
    </w:p>
    <w:p w14:paraId="295AE37B" w14:textId="0B65B96B" w:rsidR="00885FA7" w:rsidRDefault="00DB3D68" w:rsidP="00792541">
      <w:pPr>
        <w:jc w:val="both"/>
      </w:pPr>
      <w:r>
        <w:t xml:space="preserve">Parmi </w:t>
      </w:r>
      <w:r w:rsidR="00C40C74">
        <w:t>les adaptations</w:t>
      </w:r>
      <w:r>
        <w:t xml:space="preserve"> qui ont été validé</w:t>
      </w:r>
      <w:r w:rsidR="00C40C74">
        <w:t>e</w:t>
      </w:r>
      <w:r>
        <w:t>s figurent notamment les allégements dans les programmes de surveillance des cheptels indemnes depuis plus de 4 ans, n’ayant pas perdus leur statut sur la période</w:t>
      </w:r>
      <w:r w:rsidR="00A022A5">
        <w:t xml:space="preserve"> : </w:t>
      </w:r>
      <w:r w:rsidR="00A022A5" w:rsidRPr="00A022A5">
        <w:t>40 PS par cheptel de plus de 40 BV adultes uniquement contre 100% des plus de 24 mois auparavant</w:t>
      </w:r>
      <w:r w:rsidR="00A022A5">
        <w:t xml:space="preserve">. </w:t>
      </w:r>
      <w:r w:rsidR="007E6881">
        <w:t xml:space="preserve"> </w:t>
      </w:r>
    </w:p>
    <w:p w14:paraId="4916BB27" w14:textId="77777777" w:rsidR="00A75F4A" w:rsidRDefault="00A022A5" w:rsidP="00792541">
      <w:pPr>
        <w:jc w:val="both"/>
      </w:pPr>
      <w:r>
        <w:t>M</w:t>
      </w:r>
      <w:r w:rsidRPr="00A022A5">
        <w:t xml:space="preserve">ais </w:t>
      </w:r>
      <w:r w:rsidR="007E6881" w:rsidRPr="00A75F4A">
        <w:t xml:space="preserve">par contre </w:t>
      </w:r>
      <w:r w:rsidRPr="00A022A5">
        <w:t xml:space="preserve">pour les </w:t>
      </w:r>
      <w:r>
        <w:t xml:space="preserve">cheptels </w:t>
      </w:r>
      <w:r w:rsidRPr="00A022A5">
        <w:t>infecté</w:t>
      </w:r>
      <w:r w:rsidR="00C40C74">
        <w:t>s le poids de la surveillance augmente</w:t>
      </w:r>
      <w:r w:rsidR="00A75F4A">
        <w:t xml:space="preserve">. </w:t>
      </w:r>
      <w:r w:rsidR="00A75F4A" w:rsidRPr="00A75F4A">
        <w:t xml:space="preserve">La </w:t>
      </w:r>
      <w:proofErr w:type="gramStart"/>
      <w:r w:rsidR="00A75F4A" w:rsidRPr="00A75F4A">
        <w:t>LSA  ne</w:t>
      </w:r>
      <w:proofErr w:type="gramEnd"/>
      <w:r w:rsidR="00A75F4A" w:rsidRPr="00A75F4A">
        <w:t xml:space="preserve"> reconnait pas les analyses immunologiques de mélanges pour obtenir une qualification pour les élevages non encore qualifiés.</w:t>
      </w:r>
      <w:r w:rsidR="00A75F4A">
        <w:t xml:space="preserve"> </w:t>
      </w:r>
      <w:r w:rsidR="00A75F4A" w:rsidRPr="00A75F4A">
        <w:t>D’où le retour aux analyses individuels en cas d’élevage non indemne.</w:t>
      </w:r>
      <w:r w:rsidR="00A75F4A">
        <w:t xml:space="preserve"> Les prélèvements sanguins devront également se faire sur les animaux de plus de 12 mois, avec un échantillonnage pour les jeunes à l’engrais.</w:t>
      </w:r>
      <w:r w:rsidR="00C40C74">
        <w:t xml:space="preserve"> </w:t>
      </w:r>
    </w:p>
    <w:p w14:paraId="214346B3" w14:textId="376E29C2" w:rsidR="00DB3D68" w:rsidRDefault="00A75F4A" w:rsidP="00792541">
      <w:pPr>
        <w:jc w:val="both"/>
      </w:pPr>
      <w:r>
        <w:t>Ainsi i</w:t>
      </w:r>
      <w:r w:rsidR="00C40C74" w:rsidRPr="00C40C74">
        <w:t>l faut absolument</w:t>
      </w:r>
      <w:r w:rsidR="00491745">
        <w:t xml:space="preserve"> </w:t>
      </w:r>
      <w:r w:rsidR="00491745" w:rsidRPr="00A75F4A">
        <w:t>vite</w:t>
      </w:r>
      <w:r w:rsidR="00C40C74" w:rsidRPr="00C40C74">
        <w:t xml:space="preserve"> </w:t>
      </w:r>
      <w:r w:rsidR="00CF0CD2" w:rsidRPr="00C40C74">
        <w:t>reformer</w:t>
      </w:r>
      <w:r w:rsidR="00CF0CD2">
        <w:t xml:space="preserve"> </w:t>
      </w:r>
      <w:r w:rsidR="00CF0CD2" w:rsidRPr="00C40C74">
        <w:t>les</w:t>
      </w:r>
      <w:r w:rsidR="00C40C74" w:rsidRPr="00C40C74">
        <w:t xml:space="preserve"> </w:t>
      </w:r>
      <w:r w:rsidR="00C40C74">
        <w:t xml:space="preserve">bovins </w:t>
      </w:r>
      <w:r w:rsidR="00C40C74" w:rsidRPr="00C40C74">
        <w:t>positifs en élevage où ils sont peu nombreux</w:t>
      </w:r>
      <w:r w:rsidR="007E6881">
        <w:t xml:space="preserve"> </w:t>
      </w:r>
      <w:r w:rsidR="007E6881" w:rsidRPr="00A75F4A">
        <w:t>pour</w:t>
      </w:r>
      <w:r w:rsidR="00491745" w:rsidRPr="00A75F4A">
        <w:t xml:space="preserve"> </w:t>
      </w:r>
      <w:r w:rsidR="00CF0CD2" w:rsidRPr="00A75F4A">
        <w:t>espérer se</w:t>
      </w:r>
      <w:r w:rsidR="007E6881" w:rsidRPr="00A75F4A">
        <w:t xml:space="preserve"> qualifier avec l’ancien système</w:t>
      </w:r>
      <w:r w:rsidR="00C40C74">
        <w:t xml:space="preserve">. </w:t>
      </w:r>
    </w:p>
    <w:p w14:paraId="0C374F59" w14:textId="4A03952D" w:rsidR="004C53C2" w:rsidRDefault="00A022A5" w:rsidP="00792541">
      <w:pPr>
        <w:jc w:val="both"/>
      </w:pPr>
      <w:bookmarkStart w:id="0" w:name="tableau1"/>
      <w:bookmarkEnd w:id="0"/>
      <w:r w:rsidRPr="00A022A5">
        <w:t xml:space="preserve">Le détail </w:t>
      </w:r>
      <w:r w:rsidR="00DB2220">
        <w:t xml:space="preserve">de adaptations validée </w:t>
      </w:r>
      <w:r w:rsidRPr="00A022A5">
        <w:t>est repris dans le tableau ci-dessous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2"/>
        <w:gridCol w:w="2492"/>
        <w:gridCol w:w="1554"/>
        <w:gridCol w:w="3444"/>
      </w:tblGrid>
      <w:tr w:rsidR="00A75F4A" w14:paraId="7DD4AFEF" w14:textId="77777777" w:rsidTr="00370F75">
        <w:tc>
          <w:tcPr>
            <w:tcW w:w="9288" w:type="dxa"/>
            <w:gridSpan w:val="4"/>
          </w:tcPr>
          <w:p w14:paraId="1C9083A7" w14:textId="77777777" w:rsidR="00A75F4A" w:rsidRDefault="00A75F4A" w:rsidP="00792541">
            <w:pPr>
              <w:jc w:val="both"/>
            </w:pPr>
            <w:r>
              <w:t>Surveillance et statuts : évolutions prévues pour application en 2021/2022</w:t>
            </w:r>
          </w:p>
          <w:p w14:paraId="6D65808A" w14:textId="77777777" w:rsidR="00A75F4A" w:rsidRDefault="00A75F4A" w:rsidP="00792541">
            <w:pPr>
              <w:jc w:val="both"/>
            </w:pPr>
            <w:r>
              <w:t>Source : AFSE/ GDS France, adaptation du programme IBR à la LSA, 21 juin 2021. – extrait-</w:t>
            </w:r>
          </w:p>
          <w:p w14:paraId="6A012FD5" w14:textId="6F6E3926" w:rsidR="00A75F4A" w:rsidRDefault="00A75F4A" w:rsidP="00792541">
            <w:pPr>
              <w:jc w:val="both"/>
              <w:rPr>
                <w:i/>
                <w:iCs/>
              </w:rPr>
            </w:pPr>
            <w:r w:rsidRPr="00C40C74">
              <w:rPr>
                <w:i/>
                <w:iCs/>
              </w:rPr>
              <w:t>L’intégralité du document de travail diffusé par l’AFSE est disponible ici.</w:t>
            </w:r>
          </w:p>
          <w:p w14:paraId="260D832E" w14:textId="77777777" w:rsidR="00A75F4A" w:rsidRDefault="00A75F4A" w:rsidP="00792541">
            <w:pPr>
              <w:jc w:val="both"/>
              <w:rPr>
                <w:i/>
                <w:iCs/>
              </w:rPr>
            </w:pPr>
          </w:p>
          <w:p w14:paraId="1FFB1155" w14:textId="729364E8" w:rsidR="00A75F4A" w:rsidRDefault="00A75F4A" w:rsidP="00792541">
            <w:pPr>
              <w:jc w:val="both"/>
            </w:pPr>
            <w:r w:rsidRPr="00A022A5">
              <w:t>* hors troupeaux laitiers 100% lait cru, considérés comme allaitant</w:t>
            </w:r>
          </w:p>
        </w:tc>
      </w:tr>
      <w:tr w:rsidR="00A636C7" w14:paraId="3C93F155" w14:textId="77777777" w:rsidTr="00A75F4A">
        <w:tc>
          <w:tcPr>
            <w:tcW w:w="1572" w:type="dxa"/>
          </w:tcPr>
          <w:p w14:paraId="288A89F2" w14:textId="0DCC9E81" w:rsidR="00A636C7" w:rsidRDefault="00A636C7" w:rsidP="00792541">
            <w:pPr>
              <w:jc w:val="both"/>
            </w:pPr>
            <w:r>
              <w:t>STATUT (N = année)</w:t>
            </w:r>
          </w:p>
        </w:tc>
        <w:tc>
          <w:tcPr>
            <w:tcW w:w="2600" w:type="dxa"/>
          </w:tcPr>
          <w:p w14:paraId="65DAD6EA" w14:textId="6BE84756" w:rsidR="00A636C7" w:rsidRDefault="00A636C7" w:rsidP="00792541">
            <w:pPr>
              <w:jc w:val="both"/>
            </w:pPr>
            <w:r>
              <w:t>Prélèvement de sang</w:t>
            </w:r>
          </w:p>
        </w:tc>
        <w:tc>
          <w:tcPr>
            <w:tcW w:w="1554" w:type="dxa"/>
          </w:tcPr>
          <w:p w14:paraId="1773AC39" w14:textId="6A089975" w:rsidR="00A636C7" w:rsidRDefault="00A636C7" w:rsidP="00792541">
            <w:pPr>
              <w:jc w:val="both"/>
            </w:pPr>
            <w:r>
              <w:t>Si atelier laitier</w:t>
            </w:r>
            <w:r w:rsidR="00672252">
              <w:t>*</w:t>
            </w:r>
          </w:p>
        </w:tc>
        <w:tc>
          <w:tcPr>
            <w:tcW w:w="3562" w:type="dxa"/>
          </w:tcPr>
          <w:p w14:paraId="4BA2B8AF" w14:textId="7719490A" w:rsidR="00A636C7" w:rsidRDefault="00672252" w:rsidP="00792541">
            <w:pPr>
              <w:jc w:val="both"/>
            </w:pPr>
            <w:r>
              <w:t>C</w:t>
            </w:r>
            <w:r w:rsidR="00A636C7">
              <w:t>ommentaires</w:t>
            </w:r>
          </w:p>
        </w:tc>
      </w:tr>
      <w:tr w:rsidR="00A636C7" w14:paraId="56C963BF" w14:textId="77777777" w:rsidTr="00A75F4A">
        <w:tc>
          <w:tcPr>
            <w:tcW w:w="1572" w:type="dxa"/>
          </w:tcPr>
          <w:p w14:paraId="4FB130D7" w14:textId="77777777" w:rsidR="00A636C7" w:rsidRDefault="00A636C7" w:rsidP="00792541">
            <w:pPr>
              <w:jc w:val="both"/>
            </w:pPr>
            <w:r>
              <w:t>Indemne (IND) ou indemne vacciné (IVA)</w:t>
            </w:r>
          </w:p>
          <w:p w14:paraId="129E28F7" w14:textId="0CAACE77" w:rsidR="00A636C7" w:rsidRDefault="00A636C7" w:rsidP="00792541">
            <w:pPr>
              <w:jc w:val="both"/>
            </w:pPr>
            <w:r>
              <w:t>N1, N2, N3</w:t>
            </w:r>
          </w:p>
        </w:tc>
        <w:tc>
          <w:tcPr>
            <w:tcW w:w="2600" w:type="dxa"/>
          </w:tcPr>
          <w:p w14:paraId="0201226D" w14:textId="77777777" w:rsidR="00A636C7" w:rsidRDefault="00A636C7" w:rsidP="00792541">
            <w:pPr>
              <w:jc w:val="both"/>
            </w:pPr>
            <w:r>
              <w:t>Prélèvements : animaux de 24 mois et plus</w:t>
            </w:r>
          </w:p>
          <w:p w14:paraId="2E829321" w14:textId="77777777" w:rsidR="00A636C7" w:rsidRDefault="00A636C7" w:rsidP="00792541">
            <w:pPr>
              <w:jc w:val="both"/>
            </w:pPr>
            <w:r>
              <w:t xml:space="preserve">Analyses : mélanges de sérum ou individuelles sur animaux non infectés vaccinés délétés. </w:t>
            </w:r>
          </w:p>
          <w:p w14:paraId="58965276" w14:textId="43A9C888" w:rsidR="00A636C7" w:rsidRDefault="00A636C7" w:rsidP="00792541">
            <w:pPr>
              <w:jc w:val="both"/>
            </w:pPr>
            <w:r>
              <w:t>Fréquence : 1 dépistage par campagne</w:t>
            </w:r>
          </w:p>
        </w:tc>
        <w:tc>
          <w:tcPr>
            <w:tcW w:w="1554" w:type="dxa"/>
          </w:tcPr>
          <w:p w14:paraId="21A99C44" w14:textId="5AC2FB58" w:rsidR="00A636C7" w:rsidRDefault="00A636C7" w:rsidP="00792541">
            <w:pPr>
              <w:jc w:val="both"/>
            </w:pPr>
            <w:r>
              <w:t>Prélèvements : lait d</w:t>
            </w:r>
            <w:r w:rsidR="00B10ACA">
              <w:t>e</w:t>
            </w:r>
            <w:r>
              <w:t xml:space="preserve"> tank</w:t>
            </w:r>
          </w:p>
          <w:p w14:paraId="19E664B1" w14:textId="71965155" w:rsidR="00A636C7" w:rsidRDefault="00A636C7" w:rsidP="00792541">
            <w:pPr>
              <w:jc w:val="both"/>
            </w:pPr>
            <w:r>
              <w:t>Fréquence : 6 dépistages par an, espacés d’au moins 2 mois</w:t>
            </w:r>
          </w:p>
        </w:tc>
        <w:tc>
          <w:tcPr>
            <w:tcW w:w="3562" w:type="dxa"/>
          </w:tcPr>
          <w:p w14:paraId="36B19C63" w14:textId="77777777" w:rsidR="00A636C7" w:rsidRDefault="00A636C7" w:rsidP="00792541">
            <w:pPr>
              <w:jc w:val="both"/>
            </w:pPr>
          </w:p>
        </w:tc>
      </w:tr>
      <w:tr w:rsidR="00A636C7" w14:paraId="438CEECC" w14:textId="77777777" w:rsidTr="00A75F4A">
        <w:tc>
          <w:tcPr>
            <w:tcW w:w="1572" w:type="dxa"/>
          </w:tcPr>
          <w:p w14:paraId="7A85C80A" w14:textId="77777777" w:rsidR="00A636C7" w:rsidRDefault="00A636C7" w:rsidP="00792541">
            <w:pPr>
              <w:jc w:val="both"/>
            </w:pPr>
            <w:r>
              <w:t>Indemne (IND) ou indemne vacciné (IVA)</w:t>
            </w:r>
          </w:p>
          <w:p w14:paraId="070471CE" w14:textId="1ED4076E" w:rsidR="00A636C7" w:rsidRDefault="00A636C7" w:rsidP="00792541">
            <w:pPr>
              <w:jc w:val="both"/>
            </w:pPr>
            <w:r>
              <w:t>A partir de N4</w:t>
            </w:r>
          </w:p>
        </w:tc>
        <w:tc>
          <w:tcPr>
            <w:tcW w:w="2600" w:type="dxa"/>
          </w:tcPr>
          <w:p w14:paraId="516BEE2D" w14:textId="77777777" w:rsidR="00B10ACA" w:rsidRDefault="00B10ACA" w:rsidP="00792541">
            <w:pPr>
              <w:jc w:val="both"/>
            </w:pPr>
            <w:r>
              <w:t>Prélèvements : 1 dépistage par campagne</w:t>
            </w:r>
          </w:p>
          <w:p w14:paraId="739209B4" w14:textId="77777777" w:rsidR="00B10ACA" w:rsidRDefault="00B10ACA" w:rsidP="00792541">
            <w:pPr>
              <w:jc w:val="both"/>
            </w:pPr>
            <w:r>
              <w:t>- si moins de 40 animaux de plus de 24 mois : tous les bovins de 24 mois et plus</w:t>
            </w:r>
          </w:p>
          <w:p w14:paraId="2E8A1DF7" w14:textId="77777777" w:rsidR="00B10ACA" w:rsidRDefault="00B10ACA" w:rsidP="00792541">
            <w:pPr>
              <w:jc w:val="both"/>
            </w:pPr>
            <w:r>
              <w:t xml:space="preserve">- si plus de 40 animaux de plus de 24 mois : </w:t>
            </w:r>
            <w:r w:rsidRPr="00672252">
              <w:rPr>
                <w:b/>
                <w:bCs/>
              </w:rPr>
              <w:t>40 bovins de 24 mois et plus</w:t>
            </w:r>
            <w:r>
              <w:t xml:space="preserve">. </w:t>
            </w:r>
          </w:p>
          <w:p w14:paraId="751C7764" w14:textId="77777777" w:rsidR="00B10ACA" w:rsidRDefault="00B10ACA" w:rsidP="00792541">
            <w:pPr>
              <w:jc w:val="both"/>
            </w:pPr>
            <w:r>
              <w:lastRenderedPageBreak/>
              <w:t xml:space="preserve">Analyses : mélanges de sérum ou individuelles sur animaux non infectés vaccinés délétés. </w:t>
            </w:r>
          </w:p>
          <w:p w14:paraId="508E9007" w14:textId="601D2FE3" w:rsidR="00B10ACA" w:rsidRDefault="00B10ACA" w:rsidP="00792541">
            <w:pPr>
              <w:jc w:val="both"/>
            </w:pPr>
            <w:r>
              <w:t>Fréquence : 1 dépistage par campagne</w:t>
            </w:r>
          </w:p>
        </w:tc>
        <w:tc>
          <w:tcPr>
            <w:tcW w:w="1554" w:type="dxa"/>
          </w:tcPr>
          <w:p w14:paraId="30DA322E" w14:textId="77777777" w:rsidR="00B10ACA" w:rsidRDefault="00B10ACA" w:rsidP="00792541">
            <w:pPr>
              <w:jc w:val="both"/>
            </w:pPr>
            <w:r>
              <w:lastRenderedPageBreak/>
              <w:t>Prélèvements : lait de tank</w:t>
            </w:r>
          </w:p>
          <w:p w14:paraId="08382C1F" w14:textId="5B1584BC" w:rsidR="00A636C7" w:rsidRDefault="00B10ACA" w:rsidP="00792541">
            <w:pPr>
              <w:jc w:val="both"/>
            </w:pPr>
            <w:r>
              <w:t>Fréquence : 1 dépistages par an</w:t>
            </w:r>
          </w:p>
        </w:tc>
        <w:tc>
          <w:tcPr>
            <w:tcW w:w="3562" w:type="dxa"/>
          </w:tcPr>
          <w:p w14:paraId="6AAB0567" w14:textId="77777777" w:rsidR="00B10ACA" w:rsidRDefault="00B10ACA" w:rsidP="00792541">
            <w:pPr>
              <w:jc w:val="both"/>
            </w:pPr>
            <w:r>
              <w:t xml:space="preserve">Possibilité de ne pas appliquer les allègements dans les élevages considérés à risque. </w:t>
            </w:r>
          </w:p>
          <w:p w14:paraId="37F13E62" w14:textId="4C9CD101" w:rsidR="00A636C7" w:rsidRDefault="00B10ACA" w:rsidP="00792541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Critères nationaux communs à tous :</w:t>
            </w:r>
          </w:p>
          <w:p w14:paraId="02E64FFE" w14:textId="0B8D72C0" w:rsidR="00B10ACA" w:rsidRDefault="00B10ACA" w:rsidP="00792541">
            <w:pPr>
              <w:pStyle w:val="Paragraphedeliste"/>
              <w:numPr>
                <w:ilvl w:val="1"/>
                <w:numId w:val="2"/>
              </w:numPr>
              <w:tabs>
                <w:tab w:val="left" w:pos="241"/>
              </w:tabs>
              <w:jc w:val="both"/>
            </w:pPr>
            <w:r>
              <w:t xml:space="preserve"> </w:t>
            </w:r>
            <w:r w:rsidR="00672252">
              <w:t>Troupeau</w:t>
            </w:r>
            <w:r>
              <w:t xml:space="preserve"> associé à un atelier d’engraissement en bâtiment carte jaune (sauf si uniquement des animaux </w:t>
            </w:r>
            <w:r>
              <w:lastRenderedPageBreak/>
              <w:t>indemnes introduits dans l’atelier dérogatoire)</w:t>
            </w:r>
          </w:p>
          <w:p w14:paraId="0CFCF22F" w14:textId="3023C4EC" w:rsidR="00B10ACA" w:rsidRDefault="00672252" w:rsidP="00792541">
            <w:pPr>
              <w:pStyle w:val="Paragraphedeliste"/>
              <w:numPr>
                <w:ilvl w:val="1"/>
                <w:numId w:val="2"/>
              </w:numPr>
              <w:tabs>
                <w:tab w:val="left" w:pos="241"/>
              </w:tabs>
              <w:jc w:val="both"/>
            </w:pPr>
            <w:r>
              <w:t>Troupeaux</w:t>
            </w:r>
            <w:r w:rsidR="00B10ACA">
              <w:t xml:space="preserve"> associés à atelier de négoce. </w:t>
            </w:r>
          </w:p>
          <w:p w14:paraId="6E0150FD" w14:textId="7142A12C" w:rsidR="00B10ACA" w:rsidRDefault="00B10ACA" w:rsidP="00792541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Critères locaux, notamment voisinage de pâture de troupeau à risque.  </w:t>
            </w:r>
          </w:p>
        </w:tc>
      </w:tr>
      <w:tr w:rsidR="00672252" w14:paraId="16F156FC" w14:textId="77777777" w:rsidTr="00A75F4A">
        <w:tc>
          <w:tcPr>
            <w:tcW w:w="1572" w:type="dxa"/>
          </w:tcPr>
          <w:p w14:paraId="10B1EFBD" w14:textId="62080F16" w:rsidR="00672252" w:rsidRDefault="00672252" w:rsidP="00792541">
            <w:pPr>
              <w:jc w:val="both"/>
            </w:pPr>
            <w:r>
              <w:lastRenderedPageBreak/>
              <w:t>En cours de qualification IND ou en cours de qualification IVA</w:t>
            </w:r>
          </w:p>
        </w:tc>
        <w:tc>
          <w:tcPr>
            <w:tcW w:w="4154" w:type="dxa"/>
            <w:gridSpan w:val="2"/>
            <w:vMerge w:val="restart"/>
            <w:vAlign w:val="center"/>
          </w:tcPr>
          <w:p w14:paraId="248D9CA2" w14:textId="77777777" w:rsidR="00672252" w:rsidRDefault="00672252" w:rsidP="00792541">
            <w:pPr>
              <w:jc w:val="both"/>
            </w:pPr>
            <w:r>
              <w:t>Prélèvements : animaux de 12 mois et plus non connus infectés (dont échantillonnage des mâles à l’engrais)</w:t>
            </w:r>
          </w:p>
          <w:p w14:paraId="67BEB0E4" w14:textId="77777777" w:rsidR="00672252" w:rsidRDefault="00672252" w:rsidP="00792541">
            <w:pPr>
              <w:jc w:val="both"/>
            </w:pPr>
            <w:r>
              <w:t>Analyses : individuelles (</w:t>
            </w:r>
            <w:proofErr w:type="spellStart"/>
            <w:r>
              <w:t>gE</w:t>
            </w:r>
            <w:proofErr w:type="spellEnd"/>
            <w:r>
              <w:t xml:space="preserve"> pour animaux infectés non vaccinés délétés)</w:t>
            </w:r>
          </w:p>
          <w:p w14:paraId="5B38778C" w14:textId="199503F5" w:rsidR="00672252" w:rsidRDefault="00672252" w:rsidP="00792541">
            <w:pPr>
              <w:jc w:val="both"/>
            </w:pPr>
            <w:r>
              <w:t>Fréquence : 1 dépistage par campagne</w:t>
            </w:r>
          </w:p>
        </w:tc>
        <w:tc>
          <w:tcPr>
            <w:tcW w:w="3562" w:type="dxa"/>
          </w:tcPr>
          <w:p w14:paraId="204F22A8" w14:textId="77777777" w:rsidR="00672252" w:rsidRDefault="00672252" w:rsidP="00792541">
            <w:pPr>
              <w:jc w:val="both"/>
            </w:pPr>
          </w:p>
        </w:tc>
      </w:tr>
      <w:tr w:rsidR="00672252" w14:paraId="590F56AE" w14:textId="77777777" w:rsidTr="00A75F4A">
        <w:tc>
          <w:tcPr>
            <w:tcW w:w="1572" w:type="dxa"/>
          </w:tcPr>
          <w:p w14:paraId="40554E0E" w14:textId="2AD03BB3" w:rsidR="00672252" w:rsidRDefault="00672252" w:rsidP="00792541">
            <w:pPr>
              <w:jc w:val="both"/>
            </w:pPr>
            <w:r>
              <w:t>En assainissement AAP ou ASP</w:t>
            </w:r>
          </w:p>
        </w:tc>
        <w:tc>
          <w:tcPr>
            <w:tcW w:w="4154" w:type="dxa"/>
            <w:gridSpan w:val="2"/>
            <w:vMerge/>
          </w:tcPr>
          <w:p w14:paraId="55B04E10" w14:textId="77777777" w:rsidR="00672252" w:rsidRDefault="00672252" w:rsidP="00792541">
            <w:pPr>
              <w:jc w:val="both"/>
            </w:pPr>
          </w:p>
        </w:tc>
        <w:tc>
          <w:tcPr>
            <w:tcW w:w="3562" w:type="dxa"/>
          </w:tcPr>
          <w:p w14:paraId="67AFA9BB" w14:textId="58A75C3A" w:rsidR="00672252" w:rsidRDefault="00672252" w:rsidP="00792541">
            <w:pPr>
              <w:jc w:val="both"/>
            </w:pPr>
            <w:r>
              <w:t xml:space="preserve">Les troupeaux AAP en vaccination généralisée peuvent ne pas faire l’objet de surveillance annuelle. </w:t>
            </w:r>
          </w:p>
        </w:tc>
      </w:tr>
    </w:tbl>
    <w:p w14:paraId="12973629" w14:textId="77777777" w:rsidR="00A75F4A" w:rsidRDefault="00A75F4A" w:rsidP="00792541">
      <w:pPr>
        <w:jc w:val="both"/>
        <w:rPr>
          <w:u w:val="single"/>
        </w:rPr>
      </w:pPr>
    </w:p>
    <w:p w14:paraId="7A49F880" w14:textId="242DF831" w:rsidR="00C40C74" w:rsidRPr="00885FA7" w:rsidRDefault="00C40C74" w:rsidP="00792541">
      <w:pPr>
        <w:jc w:val="both"/>
        <w:rPr>
          <w:u w:val="single"/>
        </w:rPr>
      </w:pPr>
      <w:r w:rsidRPr="00885FA7">
        <w:rPr>
          <w:u w:val="single"/>
        </w:rPr>
        <w:t>QUELS CONSEQUENCES POUR NOUS, VETERINAIRES SANITAIRES ?</w:t>
      </w:r>
    </w:p>
    <w:p w14:paraId="42972CE3" w14:textId="77777777" w:rsidR="007E6881" w:rsidRDefault="00A022A5" w:rsidP="00792541">
      <w:pPr>
        <w:jc w:val="both"/>
      </w:pPr>
      <w:r>
        <w:t>A terme ces changements risquent d’a</w:t>
      </w:r>
      <w:r w:rsidR="009E0D42">
        <w:t xml:space="preserve">voir un impact majeur sur l’organisation des prophylaxies au sein de nos structures. </w:t>
      </w:r>
    </w:p>
    <w:p w14:paraId="620D3730" w14:textId="3CA1DD87" w:rsidR="009E0D42" w:rsidRDefault="009E0D42" w:rsidP="00792541">
      <w:pPr>
        <w:jc w:val="both"/>
      </w:pPr>
      <w:r>
        <w:t>Les modalités pratique</w:t>
      </w:r>
      <w:r w:rsidR="00A022A5">
        <w:t>s</w:t>
      </w:r>
      <w:r>
        <w:t xml:space="preserve"> de choix de ces 40 bovins à prélever ne sont pas encore définies et les choix seront faits départementalement, par chaque GDS</w:t>
      </w:r>
      <w:r w:rsidR="00C40C74">
        <w:t xml:space="preserve">, en prenant également en compte les contraintes d’échantillonnage liés à la surveillance des autres maladies réglementées (brucellose, leucose notamment). </w:t>
      </w:r>
      <w:r>
        <w:t xml:space="preserve"> </w:t>
      </w:r>
    </w:p>
    <w:p w14:paraId="48B2C791" w14:textId="77777777" w:rsidR="007E6881" w:rsidRDefault="009E0D42" w:rsidP="00792541">
      <w:pPr>
        <w:jc w:val="both"/>
      </w:pPr>
      <w:r>
        <w:t>Techniquement</w:t>
      </w:r>
      <w:r w:rsidR="00C40C74">
        <w:t xml:space="preserve"> concernant l’IBR</w:t>
      </w:r>
      <w:r>
        <w:t xml:space="preserve">, pour maintenir une surveillance efficace, rien ne s’oppose à ce que l’on prélève 40 bovins sentinelles pris au hasard dans le cheptel, à condition de prélever les taureaux pour les cheptels en monte naturelle. </w:t>
      </w:r>
    </w:p>
    <w:p w14:paraId="4DC9FD09" w14:textId="2280C936" w:rsidR="007E6881" w:rsidRDefault="009E0D42" w:rsidP="00792541">
      <w:pPr>
        <w:jc w:val="both"/>
        <w:rPr>
          <w:color w:val="00B0F0"/>
        </w:rPr>
      </w:pPr>
      <w:r>
        <w:t>Les logiciels informatiques des laboratoires permettent actuellement de le fair</w:t>
      </w:r>
      <w:r w:rsidR="00FE29D8">
        <w:t>e</w:t>
      </w:r>
      <w:r>
        <w:t>, comme c’est fait pour les surveillances FCO</w:t>
      </w:r>
      <w:r w:rsidR="007E6881">
        <w:t xml:space="preserve"> </w:t>
      </w:r>
      <w:r w:rsidR="007E6881" w:rsidRPr="00A75F4A">
        <w:t xml:space="preserve">en lisant les </w:t>
      </w:r>
      <w:r w:rsidR="00A75F4A" w:rsidRPr="00A75F4A">
        <w:t>codes-barres</w:t>
      </w:r>
      <w:r w:rsidR="007E6881" w:rsidRPr="00A75F4A">
        <w:t xml:space="preserve"> sur les tubes</w:t>
      </w:r>
      <w:r w:rsidR="007E6881">
        <w:t xml:space="preserve"> </w:t>
      </w:r>
      <w:r w:rsidR="007E6881" w:rsidRPr="00A75F4A">
        <w:t xml:space="preserve">à </w:t>
      </w:r>
      <w:r w:rsidR="00CF0CD2" w:rsidRPr="00A75F4A">
        <w:t>l’enregistrement.</w:t>
      </w:r>
    </w:p>
    <w:p w14:paraId="7B01F4D8" w14:textId="1ECC8389" w:rsidR="009E0D42" w:rsidRDefault="009E0D42" w:rsidP="00792541">
      <w:pPr>
        <w:jc w:val="both"/>
      </w:pPr>
      <w:r w:rsidRPr="007E6881">
        <w:rPr>
          <w:color w:val="00B0F0"/>
        </w:rPr>
        <w:t xml:space="preserve"> </w:t>
      </w:r>
      <w:r>
        <w:t xml:space="preserve">Reste à définir avec les GDS départementaux, notamment lors des réunions </w:t>
      </w:r>
      <w:r w:rsidR="00A75F4A">
        <w:t>quadripartites (organisation technique) et bipartites (dispositions financières)</w:t>
      </w:r>
      <w:r>
        <w:t xml:space="preserve">, </w:t>
      </w:r>
      <w:r w:rsidR="000A2B2A">
        <w:t xml:space="preserve">si c’est cette solution qui est retenue ou non. Si les 40 bovins à prélever sont prédéfinis par un listing précis établis par le GDS, les durées des prophylaxies peuvent en être fortement impactés, notamment si l’éleveur n’a pas trié les bovins à prélever… </w:t>
      </w:r>
      <w:r w:rsidR="00A022A5">
        <w:t xml:space="preserve">certains départements comme le Tarn prévoient </w:t>
      </w:r>
      <w:r w:rsidR="00CF0CD2">
        <w:t>d’ores et déjà</w:t>
      </w:r>
      <w:r w:rsidR="00A022A5">
        <w:t xml:space="preserve"> dans leur convention bipartite une tarification à l’heure en cas de défaut d’organisation de l’éleveur ou d</w:t>
      </w:r>
      <w:r w:rsidR="00FE29D8">
        <w:t>e</w:t>
      </w:r>
      <w:r w:rsidR="00A022A5">
        <w:t xml:space="preserve"> demande particulière. </w:t>
      </w:r>
    </w:p>
    <w:p w14:paraId="0FBF6F23" w14:textId="77777777" w:rsidR="00C33D87" w:rsidRPr="00B6792A" w:rsidRDefault="00C33D87" w:rsidP="00792541">
      <w:pPr>
        <w:jc w:val="both"/>
      </w:pPr>
    </w:p>
    <w:p w14:paraId="39E23B7E" w14:textId="36340AD1" w:rsidR="00A75F4A" w:rsidRPr="00F636CC" w:rsidRDefault="00C40C74" w:rsidP="00792541">
      <w:pPr>
        <w:jc w:val="both"/>
        <w:rPr>
          <w:u w:val="single"/>
        </w:rPr>
      </w:pPr>
      <w:bookmarkStart w:id="1" w:name="timing"/>
      <w:r w:rsidRPr="00885FA7">
        <w:rPr>
          <w:u w:val="single"/>
        </w:rPr>
        <w:t>QUEL EST LE TIMING POUR LA MISE EN ŒUVRE DE CES ADAPTATIONS ?</w:t>
      </w:r>
    </w:p>
    <w:bookmarkEnd w:id="1"/>
    <w:p w14:paraId="37112884" w14:textId="3B24584C" w:rsidR="00A75F4A" w:rsidRPr="00A75F4A" w:rsidRDefault="00FE29D8" w:rsidP="00792541">
      <w:pPr>
        <w:jc w:val="both"/>
      </w:pPr>
      <w:r>
        <w:t xml:space="preserve">La campagne 2021/2022 sera une année transition. </w:t>
      </w:r>
      <w:r w:rsidR="00A75F4A" w:rsidRPr="00A75F4A">
        <w:t xml:space="preserve">Suivant les départements, ces modifications s’appliqueront dès la prochaine campagne, et </w:t>
      </w:r>
      <w:r w:rsidR="00F636CC">
        <w:t xml:space="preserve">pour </w:t>
      </w:r>
      <w:r w:rsidR="00A75F4A" w:rsidRPr="00A75F4A">
        <w:t>d’autre</w:t>
      </w:r>
      <w:r w:rsidR="00A75F4A">
        <w:t>s</w:t>
      </w:r>
      <w:r w:rsidR="00A75F4A" w:rsidRPr="00A75F4A">
        <w:t xml:space="preserve"> l’an prochain</w:t>
      </w:r>
      <w:r w:rsidR="00A75F4A">
        <w:t xml:space="preserve">. </w:t>
      </w:r>
    </w:p>
    <w:p w14:paraId="05D1CAF0" w14:textId="669CE8B8" w:rsidR="000A2B2A" w:rsidRDefault="00FE29D8" w:rsidP="00792541">
      <w:pPr>
        <w:jc w:val="both"/>
      </w:pPr>
      <w:r>
        <w:t>Si l’application des allègements a été retenu</w:t>
      </w:r>
      <w:r w:rsidR="00885FA7">
        <w:t>e</w:t>
      </w:r>
      <w:r>
        <w:t xml:space="preserve"> pour cette campagne, les outils informatiques permettant son déploiement</w:t>
      </w:r>
      <w:r w:rsidR="007E6881">
        <w:t xml:space="preserve"> </w:t>
      </w:r>
      <w:r w:rsidR="007E6881" w:rsidRPr="00A75F4A">
        <w:t xml:space="preserve">devront </w:t>
      </w:r>
      <w:r w:rsidR="00A75F4A" w:rsidRPr="00A75F4A">
        <w:t>être</w:t>
      </w:r>
      <w:r w:rsidR="007E6881" w:rsidRPr="00A75F4A">
        <w:t xml:space="preserve"> opérationnel. </w:t>
      </w:r>
      <w:r w:rsidR="00A75F4A" w:rsidRPr="00A75F4A">
        <w:t>Début</w:t>
      </w:r>
      <w:r w:rsidR="007E6881" w:rsidRPr="00A75F4A">
        <w:t xml:space="preserve"> </w:t>
      </w:r>
      <w:r w:rsidR="00CF0CD2" w:rsidRPr="00A75F4A">
        <w:t>ao</w:t>
      </w:r>
      <w:r w:rsidR="00CF0CD2">
        <w:t>û</w:t>
      </w:r>
      <w:r w:rsidR="00CF0CD2" w:rsidRPr="00A75F4A">
        <w:t>t, ce</w:t>
      </w:r>
      <w:r w:rsidR="007E6881" w:rsidRPr="00A75F4A">
        <w:t xml:space="preserve"> n’est pas le </w:t>
      </w:r>
      <w:r w:rsidR="00CF0CD2" w:rsidRPr="00A75F4A">
        <w:t>cas.</w:t>
      </w:r>
      <w:r>
        <w:t xml:space="preserve"> Une fois SIGAL paramétré par la DGAL, le logiciel du GDS et le logiciel du labo </w:t>
      </w:r>
      <w:r w:rsidR="007E6881">
        <w:t>sera paramétré</w:t>
      </w:r>
      <w:r w:rsidR="007E6881" w:rsidRPr="00A75F4A">
        <w:t>. L</w:t>
      </w:r>
      <w:r w:rsidRPr="00A75F4A">
        <w:t xml:space="preserve">a </w:t>
      </w:r>
      <w:r>
        <w:t xml:space="preserve">campagne d’édition </w:t>
      </w:r>
      <w:r>
        <w:lastRenderedPageBreak/>
        <w:t>des DAP et DAI pourra être lancée. Certains départements appliqueraient dès l</w:t>
      </w:r>
      <w:r w:rsidR="00885FA7">
        <w:t>’</w:t>
      </w:r>
      <w:r>
        <w:t xml:space="preserve">hiver 2021/2022, d'autres en 2022/23. Nous vous invitons à vous rapprocher de vos interlocuteurs départementaux pour toute demande d’information complémentaire : </w:t>
      </w:r>
    </w:p>
    <w:tbl>
      <w:tblPr>
        <w:tblStyle w:val="Grilledutableau"/>
        <w:tblW w:w="9738" w:type="dxa"/>
        <w:tblLook w:val="04A0" w:firstRow="1" w:lastRow="0" w:firstColumn="1" w:lastColumn="0" w:noHBand="0" w:noVBand="1"/>
      </w:tblPr>
      <w:tblGrid>
        <w:gridCol w:w="1879"/>
        <w:gridCol w:w="1902"/>
        <w:gridCol w:w="1980"/>
        <w:gridCol w:w="1980"/>
        <w:gridCol w:w="1997"/>
      </w:tblGrid>
      <w:tr w:rsidR="00B6792A" w:rsidRPr="004B0B5E" w14:paraId="682892AF" w14:textId="77777777" w:rsidTr="00B6792A">
        <w:tc>
          <w:tcPr>
            <w:tcW w:w="1879" w:type="dxa"/>
            <w:shd w:val="clear" w:color="auto" w:fill="D9D9D9" w:themeFill="background1" w:themeFillShade="D9"/>
          </w:tcPr>
          <w:p w14:paraId="66220406" w14:textId="220293A7" w:rsidR="00B6792A" w:rsidRPr="004B0B5E" w:rsidRDefault="00B6792A" w:rsidP="00792541">
            <w:pPr>
              <w:jc w:val="both"/>
              <w:rPr>
                <w:b/>
                <w:bCs/>
              </w:rPr>
            </w:pPr>
            <w:r w:rsidRPr="004B0B5E">
              <w:rPr>
                <w:b/>
                <w:bCs/>
              </w:rPr>
              <w:t>Département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420143E7" w14:textId="4E76F875" w:rsidR="00B6792A" w:rsidRPr="004B0B5E" w:rsidRDefault="00B6792A" w:rsidP="00792541">
            <w:pPr>
              <w:jc w:val="both"/>
              <w:rPr>
                <w:b/>
                <w:bCs/>
              </w:rPr>
            </w:pPr>
            <w:r w:rsidRPr="004B0B5E">
              <w:rPr>
                <w:b/>
                <w:bCs/>
              </w:rPr>
              <w:t>Allègements envisageables dès la campagne 2021/2022 ?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56F552" w14:textId="7FD22BBD" w:rsidR="00B6792A" w:rsidRPr="004B0B5E" w:rsidRDefault="00B6792A" w:rsidP="0079254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Baisse estimée des prises de sang à effectuer en élevage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596DA12" w14:textId="151D7D27" w:rsidR="00B6792A" w:rsidRPr="004B0B5E" w:rsidRDefault="00B6792A" w:rsidP="00792541">
            <w:pPr>
              <w:jc w:val="both"/>
              <w:rPr>
                <w:b/>
                <w:bCs/>
              </w:rPr>
            </w:pPr>
            <w:r w:rsidRPr="004B0B5E">
              <w:rPr>
                <w:b/>
                <w:bCs/>
              </w:rPr>
              <w:t>Date des rendez-vous des réunions techniques (quadripartites)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4738C69F" w14:textId="3485F75C" w:rsidR="00B6792A" w:rsidRPr="004B0B5E" w:rsidRDefault="00B6792A" w:rsidP="00792541">
            <w:pPr>
              <w:jc w:val="both"/>
              <w:rPr>
                <w:b/>
                <w:bCs/>
              </w:rPr>
            </w:pPr>
            <w:r w:rsidRPr="004B0B5E">
              <w:rPr>
                <w:b/>
                <w:bCs/>
              </w:rPr>
              <w:t xml:space="preserve">Votre interlocuteur technique départemental : </w:t>
            </w:r>
          </w:p>
        </w:tc>
      </w:tr>
      <w:tr w:rsidR="00B6792A" w14:paraId="1705C08B" w14:textId="77777777" w:rsidTr="00B6792A">
        <w:tc>
          <w:tcPr>
            <w:tcW w:w="1879" w:type="dxa"/>
          </w:tcPr>
          <w:p w14:paraId="4FE0A048" w14:textId="77777777" w:rsidR="00B6792A" w:rsidRDefault="00B6792A" w:rsidP="00792541">
            <w:pPr>
              <w:jc w:val="both"/>
            </w:pPr>
            <w:r>
              <w:t xml:space="preserve">09 Ariège </w:t>
            </w:r>
          </w:p>
        </w:tc>
        <w:tc>
          <w:tcPr>
            <w:tcW w:w="1902" w:type="dxa"/>
          </w:tcPr>
          <w:p w14:paraId="7771BB86" w14:textId="7D321BDB" w:rsidR="00B6792A" w:rsidRDefault="00B6792A" w:rsidP="00792541">
            <w:pPr>
              <w:jc w:val="both"/>
            </w:pPr>
            <w:r>
              <w:t xml:space="preserve">Difficilement concevable, l’IBR étant encore très présent en Ariège. </w:t>
            </w:r>
          </w:p>
        </w:tc>
        <w:tc>
          <w:tcPr>
            <w:tcW w:w="1980" w:type="dxa"/>
          </w:tcPr>
          <w:p w14:paraId="0C4D2C72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61340DEC" w14:textId="4E0E0E73" w:rsidR="00B6792A" w:rsidRDefault="00B6792A" w:rsidP="00792541">
            <w:pPr>
              <w:jc w:val="both"/>
            </w:pPr>
            <w:r>
              <w:t>Septembre 2021</w:t>
            </w:r>
          </w:p>
        </w:tc>
        <w:tc>
          <w:tcPr>
            <w:tcW w:w="1997" w:type="dxa"/>
          </w:tcPr>
          <w:p w14:paraId="2506F585" w14:textId="569C9535" w:rsidR="00B6792A" w:rsidRDefault="00B6792A" w:rsidP="00792541">
            <w:pPr>
              <w:jc w:val="both"/>
            </w:pPr>
            <w:r>
              <w:t>Emilie GUSSE</w:t>
            </w:r>
          </w:p>
        </w:tc>
      </w:tr>
      <w:tr w:rsidR="00B6792A" w14:paraId="2318497B" w14:textId="77777777" w:rsidTr="00B6792A">
        <w:tc>
          <w:tcPr>
            <w:tcW w:w="1879" w:type="dxa"/>
          </w:tcPr>
          <w:p w14:paraId="131FE252" w14:textId="77777777" w:rsidR="00B6792A" w:rsidRDefault="00B6792A" w:rsidP="00792541">
            <w:pPr>
              <w:jc w:val="both"/>
            </w:pPr>
            <w:r>
              <w:t>11 Aude</w:t>
            </w:r>
          </w:p>
        </w:tc>
        <w:tc>
          <w:tcPr>
            <w:tcW w:w="1902" w:type="dxa"/>
          </w:tcPr>
          <w:p w14:paraId="493A20B5" w14:textId="366CAF55" w:rsidR="00B6792A" w:rsidRDefault="00B6792A" w:rsidP="00792541">
            <w:pPr>
              <w:jc w:val="both"/>
            </w:pPr>
            <w:r>
              <w:t>Peu d’évolutions à prévoir</w:t>
            </w:r>
          </w:p>
        </w:tc>
        <w:tc>
          <w:tcPr>
            <w:tcW w:w="1980" w:type="dxa"/>
          </w:tcPr>
          <w:p w14:paraId="5587FEBA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56058D14" w14:textId="07AEBCA7" w:rsidR="00B6792A" w:rsidRDefault="00B6792A" w:rsidP="00792541">
            <w:pPr>
              <w:jc w:val="both"/>
            </w:pPr>
          </w:p>
        </w:tc>
        <w:tc>
          <w:tcPr>
            <w:tcW w:w="1997" w:type="dxa"/>
          </w:tcPr>
          <w:p w14:paraId="2E02237D" w14:textId="4FBA6EFB" w:rsidR="00B6792A" w:rsidRDefault="00B6792A" w:rsidP="00792541">
            <w:pPr>
              <w:jc w:val="both"/>
            </w:pPr>
            <w:r>
              <w:t>François PEYROT</w:t>
            </w:r>
          </w:p>
        </w:tc>
      </w:tr>
      <w:tr w:rsidR="00B6792A" w14:paraId="6132A920" w14:textId="77777777" w:rsidTr="00B6792A">
        <w:tc>
          <w:tcPr>
            <w:tcW w:w="1879" w:type="dxa"/>
          </w:tcPr>
          <w:p w14:paraId="5E3E8A3B" w14:textId="4C9F3782" w:rsidR="00B6792A" w:rsidRDefault="00B6792A" w:rsidP="00792541">
            <w:pPr>
              <w:jc w:val="both"/>
            </w:pPr>
            <w:r>
              <w:t>12 Aveyron</w:t>
            </w:r>
          </w:p>
        </w:tc>
        <w:tc>
          <w:tcPr>
            <w:tcW w:w="1902" w:type="dxa"/>
          </w:tcPr>
          <w:p w14:paraId="2049D23A" w14:textId="0DD8DBFB" w:rsidR="00B6792A" w:rsidRDefault="00B6792A" w:rsidP="00792541">
            <w:pPr>
              <w:jc w:val="both"/>
            </w:pPr>
            <w:r>
              <w:t>Peu probable (logiciels non prêts et LSA non retranscrite en droit français actuellement)</w:t>
            </w:r>
          </w:p>
        </w:tc>
        <w:tc>
          <w:tcPr>
            <w:tcW w:w="1980" w:type="dxa"/>
          </w:tcPr>
          <w:p w14:paraId="138ABDC1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4B12B7E9" w14:textId="5D43F7EA" w:rsidR="00B6792A" w:rsidRDefault="00B6792A" w:rsidP="00792541">
            <w:pPr>
              <w:jc w:val="both"/>
            </w:pPr>
            <w:r>
              <w:t>16/09/2021</w:t>
            </w:r>
          </w:p>
        </w:tc>
        <w:tc>
          <w:tcPr>
            <w:tcW w:w="1997" w:type="dxa"/>
          </w:tcPr>
          <w:p w14:paraId="2826525E" w14:textId="4BC54CC5" w:rsidR="00B6792A" w:rsidRDefault="00B6792A" w:rsidP="00792541">
            <w:pPr>
              <w:jc w:val="both"/>
            </w:pPr>
            <w:r>
              <w:t>Fabien BALDET</w:t>
            </w:r>
          </w:p>
        </w:tc>
      </w:tr>
      <w:tr w:rsidR="00B6792A" w14:paraId="030AC98E" w14:textId="77777777" w:rsidTr="00B6792A">
        <w:tc>
          <w:tcPr>
            <w:tcW w:w="1879" w:type="dxa"/>
          </w:tcPr>
          <w:p w14:paraId="5CFF76CD" w14:textId="77777777" w:rsidR="00B6792A" w:rsidRDefault="00B6792A" w:rsidP="00792541">
            <w:pPr>
              <w:jc w:val="both"/>
            </w:pPr>
            <w:r>
              <w:t>30 Gars</w:t>
            </w:r>
          </w:p>
        </w:tc>
        <w:tc>
          <w:tcPr>
            <w:tcW w:w="1902" w:type="dxa"/>
          </w:tcPr>
          <w:p w14:paraId="4F7D7ACD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6DC6EC5F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1BDCECA2" w14:textId="4C9E3E40" w:rsidR="00B6792A" w:rsidRDefault="00B6792A" w:rsidP="00792541">
            <w:pPr>
              <w:jc w:val="both"/>
            </w:pPr>
          </w:p>
        </w:tc>
        <w:tc>
          <w:tcPr>
            <w:tcW w:w="1997" w:type="dxa"/>
          </w:tcPr>
          <w:p w14:paraId="056EB462" w14:textId="1EB9754B" w:rsidR="00B6792A" w:rsidRDefault="00B6792A" w:rsidP="00792541">
            <w:pPr>
              <w:jc w:val="both"/>
            </w:pPr>
            <w:r>
              <w:t>Louise LEROUX</w:t>
            </w:r>
          </w:p>
        </w:tc>
      </w:tr>
      <w:tr w:rsidR="00B6792A" w14:paraId="33273017" w14:textId="77777777" w:rsidTr="00B6792A">
        <w:tc>
          <w:tcPr>
            <w:tcW w:w="1879" w:type="dxa"/>
          </w:tcPr>
          <w:p w14:paraId="26C519CC" w14:textId="77777777" w:rsidR="00B6792A" w:rsidRDefault="00B6792A" w:rsidP="00792541">
            <w:pPr>
              <w:jc w:val="both"/>
            </w:pPr>
            <w:r>
              <w:t>31 Haute Garonne</w:t>
            </w:r>
          </w:p>
        </w:tc>
        <w:tc>
          <w:tcPr>
            <w:tcW w:w="1902" w:type="dxa"/>
          </w:tcPr>
          <w:p w14:paraId="727B7807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1F4C62A5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05B8AB58" w14:textId="470481C6" w:rsidR="00B6792A" w:rsidRDefault="00B6792A" w:rsidP="00792541">
            <w:pPr>
              <w:jc w:val="both"/>
            </w:pPr>
            <w:r>
              <w:t>02/09/2021</w:t>
            </w:r>
          </w:p>
        </w:tc>
        <w:tc>
          <w:tcPr>
            <w:tcW w:w="1997" w:type="dxa"/>
          </w:tcPr>
          <w:p w14:paraId="1891F9C1" w14:textId="569B1653" w:rsidR="00B6792A" w:rsidRDefault="00B6792A" w:rsidP="00792541">
            <w:pPr>
              <w:jc w:val="both"/>
            </w:pPr>
            <w:r>
              <w:t>Fabrice VERGONJEANNE</w:t>
            </w:r>
          </w:p>
        </w:tc>
      </w:tr>
      <w:tr w:rsidR="00B6792A" w14:paraId="2622C69F" w14:textId="77777777" w:rsidTr="00B6792A">
        <w:tc>
          <w:tcPr>
            <w:tcW w:w="1879" w:type="dxa"/>
          </w:tcPr>
          <w:p w14:paraId="165D10F5" w14:textId="77777777" w:rsidR="00B6792A" w:rsidRDefault="00B6792A" w:rsidP="00792541">
            <w:pPr>
              <w:jc w:val="both"/>
            </w:pPr>
            <w:r>
              <w:t>32 Gers</w:t>
            </w:r>
          </w:p>
        </w:tc>
        <w:tc>
          <w:tcPr>
            <w:tcW w:w="1902" w:type="dxa"/>
          </w:tcPr>
          <w:p w14:paraId="0B6045CC" w14:textId="0CA96C9D" w:rsidR="00B6792A" w:rsidRDefault="00B6792A" w:rsidP="00792541">
            <w:pPr>
              <w:jc w:val="both"/>
            </w:pPr>
            <w:r>
              <w:t>Peu probable (logiciels non prêts)</w:t>
            </w:r>
          </w:p>
        </w:tc>
        <w:tc>
          <w:tcPr>
            <w:tcW w:w="1980" w:type="dxa"/>
          </w:tcPr>
          <w:p w14:paraId="1DFC659A" w14:textId="31FFEE4C" w:rsidR="00B6792A" w:rsidRDefault="00B6792A" w:rsidP="00792541">
            <w:pPr>
              <w:jc w:val="both"/>
            </w:pPr>
            <w:r>
              <w:t>25%</w:t>
            </w:r>
          </w:p>
        </w:tc>
        <w:tc>
          <w:tcPr>
            <w:tcW w:w="1980" w:type="dxa"/>
          </w:tcPr>
          <w:p w14:paraId="07625ED5" w14:textId="507119EC" w:rsidR="00B6792A" w:rsidRDefault="00B6792A" w:rsidP="00792541">
            <w:pPr>
              <w:jc w:val="both"/>
            </w:pPr>
            <w:r>
              <w:t>Octobre 2021</w:t>
            </w:r>
          </w:p>
        </w:tc>
        <w:tc>
          <w:tcPr>
            <w:tcW w:w="1997" w:type="dxa"/>
          </w:tcPr>
          <w:p w14:paraId="63DCBBF0" w14:textId="213FBEA6" w:rsidR="00B6792A" w:rsidRDefault="00B6792A" w:rsidP="00792541">
            <w:pPr>
              <w:jc w:val="both"/>
            </w:pPr>
            <w:r>
              <w:t>Guillaume CONNEFROY</w:t>
            </w:r>
          </w:p>
        </w:tc>
      </w:tr>
      <w:tr w:rsidR="00B6792A" w14:paraId="67B4AE11" w14:textId="77777777" w:rsidTr="00B6792A">
        <w:tc>
          <w:tcPr>
            <w:tcW w:w="1879" w:type="dxa"/>
          </w:tcPr>
          <w:p w14:paraId="572561ED" w14:textId="77777777" w:rsidR="00B6792A" w:rsidRDefault="00B6792A" w:rsidP="00792541">
            <w:pPr>
              <w:jc w:val="both"/>
            </w:pPr>
            <w:r>
              <w:t>34 Hérault</w:t>
            </w:r>
          </w:p>
        </w:tc>
        <w:tc>
          <w:tcPr>
            <w:tcW w:w="1902" w:type="dxa"/>
          </w:tcPr>
          <w:p w14:paraId="502AA534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06005AC7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0F108925" w14:textId="76D289E0" w:rsidR="00B6792A" w:rsidRDefault="00B6792A" w:rsidP="00792541">
            <w:pPr>
              <w:jc w:val="both"/>
            </w:pPr>
          </w:p>
        </w:tc>
        <w:tc>
          <w:tcPr>
            <w:tcW w:w="1997" w:type="dxa"/>
          </w:tcPr>
          <w:p w14:paraId="086A0E56" w14:textId="7B033C26" w:rsidR="00B6792A" w:rsidRDefault="00B6792A" w:rsidP="00792541">
            <w:pPr>
              <w:jc w:val="both"/>
            </w:pPr>
            <w:r>
              <w:t>Julien VISSE</w:t>
            </w:r>
          </w:p>
        </w:tc>
      </w:tr>
      <w:tr w:rsidR="00B6792A" w14:paraId="2ECAEAA0" w14:textId="77777777" w:rsidTr="00B6792A">
        <w:tc>
          <w:tcPr>
            <w:tcW w:w="1879" w:type="dxa"/>
          </w:tcPr>
          <w:p w14:paraId="17EBDC89" w14:textId="77777777" w:rsidR="00B6792A" w:rsidRDefault="00B6792A" w:rsidP="00792541">
            <w:pPr>
              <w:jc w:val="both"/>
            </w:pPr>
            <w:r>
              <w:t>46 Lot</w:t>
            </w:r>
          </w:p>
        </w:tc>
        <w:tc>
          <w:tcPr>
            <w:tcW w:w="1902" w:type="dxa"/>
          </w:tcPr>
          <w:p w14:paraId="4E782992" w14:textId="6BDCA1D6" w:rsidR="00B6792A" w:rsidRPr="00A75F4A" w:rsidRDefault="00B6792A" w:rsidP="00792541">
            <w:pPr>
              <w:jc w:val="both"/>
            </w:pPr>
            <w:r>
              <w:t>Peu probable (logiciels non prêts)</w:t>
            </w:r>
          </w:p>
        </w:tc>
        <w:tc>
          <w:tcPr>
            <w:tcW w:w="1980" w:type="dxa"/>
          </w:tcPr>
          <w:p w14:paraId="67D9D4D3" w14:textId="4F2254F7" w:rsidR="00B6792A" w:rsidRDefault="00B6792A" w:rsidP="00792541">
            <w:pPr>
              <w:jc w:val="both"/>
            </w:pPr>
            <w:r>
              <w:t>20% (on passerait de 48 000 PS à 40 000)</w:t>
            </w:r>
          </w:p>
        </w:tc>
        <w:tc>
          <w:tcPr>
            <w:tcW w:w="1980" w:type="dxa"/>
          </w:tcPr>
          <w:p w14:paraId="72DFA08D" w14:textId="56A73645" w:rsidR="00B6792A" w:rsidRDefault="00B6792A" w:rsidP="00792541">
            <w:pPr>
              <w:jc w:val="both"/>
            </w:pPr>
            <w:r>
              <w:t>Fin septembre</w:t>
            </w:r>
          </w:p>
        </w:tc>
        <w:tc>
          <w:tcPr>
            <w:tcW w:w="1997" w:type="dxa"/>
          </w:tcPr>
          <w:p w14:paraId="081F2B40" w14:textId="72C6B3BB" w:rsidR="00B6792A" w:rsidRDefault="00B6792A" w:rsidP="00792541">
            <w:pPr>
              <w:jc w:val="both"/>
            </w:pPr>
            <w:r>
              <w:t>Delphine FERRE-FAYACHE</w:t>
            </w:r>
          </w:p>
        </w:tc>
      </w:tr>
      <w:tr w:rsidR="00B6792A" w14:paraId="049CBE7A" w14:textId="77777777" w:rsidTr="00B6792A">
        <w:tc>
          <w:tcPr>
            <w:tcW w:w="1879" w:type="dxa"/>
          </w:tcPr>
          <w:p w14:paraId="1EDA0701" w14:textId="77777777" w:rsidR="00B6792A" w:rsidRDefault="00B6792A" w:rsidP="00792541">
            <w:pPr>
              <w:jc w:val="both"/>
            </w:pPr>
            <w:r>
              <w:t>48 Lozère</w:t>
            </w:r>
          </w:p>
        </w:tc>
        <w:tc>
          <w:tcPr>
            <w:tcW w:w="1902" w:type="dxa"/>
          </w:tcPr>
          <w:p w14:paraId="2D4B71A7" w14:textId="1357B189" w:rsidR="00B6792A" w:rsidRDefault="00B6792A" w:rsidP="00792541">
            <w:pPr>
              <w:jc w:val="both"/>
            </w:pPr>
            <w:r>
              <w:t>Peu probable (logiciels non prêts)</w:t>
            </w:r>
          </w:p>
        </w:tc>
        <w:tc>
          <w:tcPr>
            <w:tcW w:w="1980" w:type="dxa"/>
          </w:tcPr>
          <w:p w14:paraId="1C6BF665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4253E7AA" w14:textId="2AC681BD" w:rsidR="00B6792A" w:rsidRDefault="00B6792A" w:rsidP="00792541">
            <w:pPr>
              <w:jc w:val="both"/>
            </w:pPr>
          </w:p>
        </w:tc>
        <w:tc>
          <w:tcPr>
            <w:tcW w:w="1997" w:type="dxa"/>
          </w:tcPr>
          <w:p w14:paraId="27EB2FFD" w14:textId="6C23B39A" w:rsidR="00B6792A" w:rsidRDefault="00B6792A" w:rsidP="00792541">
            <w:pPr>
              <w:jc w:val="both"/>
            </w:pPr>
            <w:r>
              <w:t>Olivier SEGURA</w:t>
            </w:r>
          </w:p>
        </w:tc>
      </w:tr>
      <w:tr w:rsidR="00B6792A" w14:paraId="1DDD6F60" w14:textId="77777777" w:rsidTr="00B6792A">
        <w:tc>
          <w:tcPr>
            <w:tcW w:w="1879" w:type="dxa"/>
          </w:tcPr>
          <w:p w14:paraId="0E38B5B8" w14:textId="77777777" w:rsidR="00B6792A" w:rsidRDefault="00B6792A" w:rsidP="00792541">
            <w:pPr>
              <w:jc w:val="both"/>
            </w:pPr>
            <w:r>
              <w:t>65 Hautes-Pyrénées</w:t>
            </w:r>
          </w:p>
        </w:tc>
        <w:tc>
          <w:tcPr>
            <w:tcW w:w="1902" w:type="dxa"/>
          </w:tcPr>
          <w:p w14:paraId="30A0011A" w14:textId="731198A9" w:rsidR="00B6792A" w:rsidRDefault="00B6792A" w:rsidP="00792541">
            <w:pPr>
              <w:jc w:val="both"/>
            </w:pPr>
            <w:r>
              <w:t>En discussion avec GDS France… Peu probable (logiciels non prêts)</w:t>
            </w:r>
          </w:p>
        </w:tc>
        <w:tc>
          <w:tcPr>
            <w:tcW w:w="1980" w:type="dxa"/>
          </w:tcPr>
          <w:p w14:paraId="28080842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05571133" w14:textId="74D84626" w:rsidR="00B6792A" w:rsidRDefault="00B6792A" w:rsidP="00792541">
            <w:pPr>
              <w:jc w:val="both"/>
            </w:pPr>
          </w:p>
        </w:tc>
        <w:tc>
          <w:tcPr>
            <w:tcW w:w="1997" w:type="dxa"/>
          </w:tcPr>
          <w:p w14:paraId="783B8154" w14:textId="1F4F156B" w:rsidR="00B6792A" w:rsidRDefault="00B6792A" w:rsidP="00792541">
            <w:pPr>
              <w:jc w:val="both"/>
            </w:pPr>
            <w:r>
              <w:t>Marc AUBADIE-LADRIX</w:t>
            </w:r>
          </w:p>
        </w:tc>
      </w:tr>
      <w:tr w:rsidR="00B6792A" w14:paraId="4BD6552E" w14:textId="77777777" w:rsidTr="00B6792A">
        <w:tc>
          <w:tcPr>
            <w:tcW w:w="1879" w:type="dxa"/>
          </w:tcPr>
          <w:p w14:paraId="53C4913E" w14:textId="77777777" w:rsidR="00B6792A" w:rsidRDefault="00B6792A" w:rsidP="00792541">
            <w:pPr>
              <w:jc w:val="both"/>
            </w:pPr>
            <w:r>
              <w:t>66 Pyrénées Orientales</w:t>
            </w:r>
          </w:p>
        </w:tc>
        <w:tc>
          <w:tcPr>
            <w:tcW w:w="1902" w:type="dxa"/>
          </w:tcPr>
          <w:p w14:paraId="3704DB41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2229C8D9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505C1D63" w14:textId="5731878B" w:rsidR="00B6792A" w:rsidRDefault="00B6792A" w:rsidP="00792541">
            <w:pPr>
              <w:jc w:val="both"/>
            </w:pPr>
          </w:p>
        </w:tc>
        <w:tc>
          <w:tcPr>
            <w:tcW w:w="1997" w:type="dxa"/>
          </w:tcPr>
          <w:p w14:paraId="78E03175" w14:textId="5C780094" w:rsidR="00B6792A" w:rsidRDefault="00B6792A" w:rsidP="00792541">
            <w:pPr>
              <w:jc w:val="both"/>
            </w:pPr>
            <w:r>
              <w:t>Fanny SOURROQUE</w:t>
            </w:r>
          </w:p>
        </w:tc>
      </w:tr>
      <w:tr w:rsidR="00B6792A" w14:paraId="23B4EDFF" w14:textId="77777777" w:rsidTr="00B6792A">
        <w:tc>
          <w:tcPr>
            <w:tcW w:w="1879" w:type="dxa"/>
          </w:tcPr>
          <w:p w14:paraId="6B94741F" w14:textId="06ED1581" w:rsidR="00B6792A" w:rsidRDefault="00B6792A" w:rsidP="00792541">
            <w:pPr>
              <w:jc w:val="both"/>
            </w:pPr>
            <w:r>
              <w:t>81 Tarn</w:t>
            </w:r>
          </w:p>
        </w:tc>
        <w:tc>
          <w:tcPr>
            <w:tcW w:w="1902" w:type="dxa"/>
          </w:tcPr>
          <w:p w14:paraId="3937BE13" w14:textId="59CC72A9" w:rsidR="00B6792A" w:rsidRDefault="00B6792A" w:rsidP="00792541">
            <w:pPr>
              <w:jc w:val="both"/>
            </w:pPr>
            <w:r>
              <w:t>Peu probable (logiciels non prêts)</w:t>
            </w:r>
          </w:p>
        </w:tc>
        <w:tc>
          <w:tcPr>
            <w:tcW w:w="1980" w:type="dxa"/>
          </w:tcPr>
          <w:p w14:paraId="16852EC4" w14:textId="77777777" w:rsidR="00B6792A" w:rsidRDefault="00B6792A" w:rsidP="00792541">
            <w:pPr>
              <w:jc w:val="both"/>
              <w:rPr>
                <w:color w:val="00B0F0"/>
              </w:rPr>
            </w:pPr>
          </w:p>
        </w:tc>
        <w:tc>
          <w:tcPr>
            <w:tcW w:w="1980" w:type="dxa"/>
          </w:tcPr>
          <w:p w14:paraId="2A83BFA3" w14:textId="380AEF25" w:rsidR="00B6792A" w:rsidRPr="00491745" w:rsidRDefault="00B6792A" w:rsidP="00792541">
            <w:pPr>
              <w:jc w:val="both"/>
              <w:rPr>
                <w:color w:val="00B0F0"/>
              </w:rPr>
            </w:pPr>
            <w:r>
              <w:rPr>
                <w:color w:val="00B0F0"/>
              </w:rPr>
              <w:t>17 septembre</w:t>
            </w:r>
          </w:p>
        </w:tc>
        <w:tc>
          <w:tcPr>
            <w:tcW w:w="1997" w:type="dxa"/>
          </w:tcPr>
          <w:p w14:paraId="7B42875D" w14:textId="5E1C6017" w:rsidR="00B6792A" w:rsidRDefault="00B6792A" w:rsidP="00792541">
            <w:pPr>
              <w:jc w:val="both"/>
            </w:pPr>
            <w:r>
              <w:t>Gilles de CREMOUX</w:t>
            </w:r>
          </w:p>
          <w:p w14:paraId="1B5B96CD" w14:textId="243A5E0F" w:rsidR="00B6792A" w:rsidRDefault="00B6792A" w:rsidP="00792541">
            <w:pPr>
              <w:jc w:val="both"/>
            </w:pPr>
          </w:p>
        </w:tc>
      </w:tr>
      <w:tr w:rsidR="00B6792A" w14:paraId="061BCD73" w14:textId="77777777" w:rsidTr="00B6792A">
        <w:tc>
          <w:tcPr>
            <w:tcW w:w="1879" w:type="dxa"/>
          </w:tcPr>
          <w:p w14:paraId="3A4CDF21" w14:textId="4CBF5907" w:rsidR="00B6792A" w:rsidRDefault="00B6792A" w:rsidP="00792541">
            <w:pPr>
              <w:jc w:val="both"/>
            </w:pPr>
            <w:r>
              <w:t>82 Tarn et Garonne</w:t>
            </w:r>
          </w:p>
        </w:tc>
        <w:tc>
          <w:tcPr>
            <w:tcW w:w="1902" w:type="dxa"/>
          </w:tcPr>
          <w:p w14:paraId="3218BA00" w14:textId="77777777" w:rsidR="00B6792A" w:rsidRDefault="00B6792A" w:rsidP="00792541">
            <w:pPr>
              <w:jc w:val="both"/>
            </w:pPr>
          </w:p>
        </w:tc>
        <w:tc>
          <w:tcPr>
            <w:tcW w:w="1980" w:type="dxa"/>
          </w:tcPr>
          <w:p w14:paraId="0FC45D4B" w14:textId="7CA99554" w:rsidR="00B6792A" w:rsidRDefault="00B6792A" w:rsidP="00792541">
            <w:pPr>
              <w:jc w:val="both"/>
            </w:pPr>
            <w:r>
              <w:t>6000 PS en moins</w:t>
            </w:r>
          </w:p>
        </w:tc>
        <w:tc>
          <w:tcPr>
            <w:tcW w:w="1980" w:type="dxa"/>
          </w:tcPr>
          <w:p w14:paraId="79A450A3" w14:textId="0E5FE441" w:rsidR="00B6792A" w:rsidRDefault="00B6792A" w:rsidP="00792541">
            <w:pPr>
              <w:jc w:val="both"/>
            </w:pPr>
          </w:p>
        </w:tc>
        <w:tc>
          <w:tcPr>
            <w:tcW w:w="1997" w:type="dxa"/>
          </w:tcPr>
          <w:p w14:paraId="2FB677B9" w14:textId="524A0485" w:rsidR="00B6792A" w:rsidRDefault="00B6792A" w:rsidP="00792541">
            <w:pPr>
              <w:jc w:val="both"/>
            </w:pPr>
            <w:r>
              <w:t>Claire SABY</w:t>
            </w:r>
          </w:p>
        </w:tc>
      </w:tr>
    </w:tbl>
    <w:p w14:paraId="7629CB94" w14:textId="5737DF4F" w:rsidR="00FE29D8" w:rsidRDefault="00FE29D8" w:rsidP="00792541">
      <w:pPr>
        <w:jc w:val="both"/>
      </w:pPr>
    </w:p>
    <w:p w14:paraId="157EAED2" w14:textId="301D326A" w:rsidR="00885FA7" w:rsidRPr="00E371E9" w:rsidRDefault="003103A4" w:rsidP="00792541">
      <w:pPr>
        <w:jc w:val="both"/>
        <w:rPr>
          <w:u w:val="single"/>
        </w:rPr>
      </w:pPr>
      <w:r w:rsidRPr="00E371E9">
        <w:rPr>
          <w:u w:val="single"/>
        </w:rPr>
        <w:t xml:space="preserve">VACCINATION : </w:t>
      </w:r>
    </w:p>
    <w:p w14:paraId="4FAF89DE" w14:textId="77777777" w:rsidR="00E371E9" w:rsidRDefault="003103A4" w:rsidP="00792541">
      <w:pPr>
        <w:jc w:val="both"/>
      </w:pPr>
      <w:r>
        <w:t xml:space="preserve">Un cahier des charges technique va être publié, il est attendu pour octobre 2021. </w:t>
      </w:r>
    </w:p>
    <w:p w14:paraId="44DC37F7" w14:textId="14959C44" w:rsidR="00C976FC" w:rsidRDefault="003103A4" w:rsidP="00792541">
      <w:pPr>
        <w:jc w:val="both"/>
      </w:pPr>
      <w:r>
        <w:t>Pour les élevag</w:t>
      </w:r>
      <w:r w:rsidR="00C976FC">
        <w:t xml:space="preserve">es </w:t>
      </w:r>
      <w:r>
        <w:t xml:space="preserve">identifiés comme étant à forte circulation virale, avec une forte prévalence d’animaux infectés, la vaccination généralisée est possible. </w:t>
      </w:r>
      <w:r w:rsidR="00C976FC">
        <w:t xml:space="preserve">Certaines spécialités sont utilisables sur des </w:t>
      </w:r>
      <w:r w:rsidR="00C976FC">
        <w:lastRenderedPageBreak/>
        <w:t xml:space="preserve">animaux de moins de 3 mois. La position de la SNGTV quant au recours à cette vaccination est de ne pas l’imposer, mais plutôt de laisser cette option à la disposition des duos éleveurs/vétérinaires souhaitant la mettre en place. </w:t>
      </w:r>
    </w:p>
    <w:p w14:paraId="5CBFE546" w14:textId="77777777" w:rsidR="004B0B5E" w:rsidRDefault="004B0B5E" w:rsidP="00792541">
      <w:pPr>
        <w:jc w:val="both"/>
      </w:pPr>
      <w:r>
        <w:t xml:space="preserve">Les différents vaccins commercialisés en France sont repris dans le tableau ci-dessous (données AMM) : </w:t>
      </w:r>
    </w:p>
    <w:tbl>
      <w:tblPr>
        <w:tblStyle w:val="Grilledutableau"/>
        <w:tblW w:w="9325" w:type="dxa"/>
        <w:tblLook w:val="04A0" w:firstRow="1" w:lastRow="0" w:firstColumn="1" w:lastColumn="0" w:noHBand="0" w:noVBand="1"/>
      </w:tblPr>
      <w:tblGrid>
        <w:gridCol w:w="1526"/>
        <w:gridCol w:w="1843"/>
        <w:gridCol w:w="2551"/>
        <w:gridCol w:w="2127"/>
        <w:gridCol w:w="1278"/>
      </w:tblGrid>
      <w:tr w:rsidR="004B0B5E" w:rsidRPr="00F8496D" w14:paraId="11A4DF3D" w14:textId="77777777" w:rsidTr="00FA044B">
        <w:tc>
          <w:tcPr>
            <w:tcW w:w="1526" w:type="dxa"/>
            <w:shd w:val="clear" w:color="auto" w:fill="D9D9D9" w:themeFill="background1" w:themeFillShade="D9"/>
          </w:tcPr>
          <w:p w14:paraId="48CB9B00" w14:textId="77777777" w:rsidR="004B0B5E" w:rsidRPr="00F8496D" w:rsidRDefault="004B0B5E" w:rsidP="00792541">
            <w:pPr>
              <w:jc w:val="both"/>
              <w:rPr>
                <w:b/>
                <w:bCs/>
              </w:rPr>
            </w:pPr>
            <w:r w:rsidRPr="00F8496D">
              <w:rPr>
                <w:b/>
                <w:bCs/>
              </w:rPr>
              <w:t>Nom déposé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063068" w14:textId="77777777" w:rsidR="004B0B5E" w:rsidRPr="00F8496D" w:rsidRDefault="004B0B5E" w:rsidP="00792541">
            <w:pPr>
              <w:jc w:val="both"/>
              <w:rPr>
                <w:b/>
                <w:bCs/>
              </w:rPr>
            </w:pPr>
            <w:r w:rsidRPr="00F8496D">
              <w:rPr>
                <w:b/>
                <w:bCs/>
              </w:rPr>
              <w:t>Age minimal des animaux pouvant être vaccinés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67BE4B6" w14:textId="77777777" w:rsidR="004B0B5E" w:rsidRPr="00F8496D" w:rsidRDefault="004B0B5E" w:rsidP="00792541">
            <w:pPr>
              <w:jc w:val="both"/>
              <w:rPr>
                <w:b/>
                <w:bCs/>
              </w:rPr>
            </w:pPr>
            <w:r w:rsidRPr="00F8496D">
              <w:rPr>
                <w:b/>
                <w:bCs/>
              </w:rPr>
              <w:t>Primovaccination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A021FA5" w14:textId="77777777" w:rsidR="004B0B5E" w:rsidRPr="00F8496D" w:rsidRDefault="004B0B5E" w:rsidP="00792541">
            <w:pPr>
              <w:jc w:val="both"/>
              <w:rPr>
                <w:b/>
                <w:bCs/>
              </w:rPr>
            </w:pPr>
            <w:r w:rsidRPr="00F8496D">
              <w:rPr>
                <w:b/>
                <w:bCs/>
              </w:rPr>
              <w:t>Rappel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0E84A46F" w14:textId="77777777" w:rsidR="004B0B5E" w:rsidRPr="00F8496D" w:rsidRDefault="004B0B5E" w:rsidP="00792541">
            <w:pPr>
              <w:jc w:val="both"/>
              <w:rPr>
                <w:b/>
                <w:bCs/>
              </w:rPr>
            </w:pPr>
            <w:r w:rsidRPr="00F8496D">
              <w:rPr>
                <w:b/>
                <w:bCs/>
              </w:rPr>
              <w:t>Voie d’adm°</w:t>
            </w:r>
          </w:p>
        </w:tc>
      </w:tr>
      <w:tr w:rsidR="004B0B5E" w14:paraId="6BF7977C" w14:textId="77777777" w:rsidTr="00FA044B">
        <w:tc>
          <w:tcPr>
            <w:tcW w:w="1526" w:type="dxa"/>
          </w:tcPr>
          <w:p w14:paraId="7D14E160" w14:textId="77777777" w:rsidR="004B0B5E" w:rsidRPr="00F8496D" w:rsidRDefault="004B0B5E" w:rsidP="00792541">
            <w:pPr>
              <w:jc w:val="both"/>
              <w:rPr>
                <w:b/>
                <w:bCs/>
              </w:rPr>
            </w:pPr>
            <w:proofErr w:type="spellStart"/>
            <w:r w:rsidRPr="00F8496D">
              <w:rPr>
                <w:b/>
                <w:bCs/>
              </w:rPr>
              <w:t>Bovilis</w:t>
            </w:r>
            <w:proofErr w:type="spellEnd"/>
            <w:r w:rsidRPr="00F8496D">
              <w:rPr>
                <w:b/>
                <w:bCs/>
              </w:rPr>
              <w:t xml:space="preserve"> IBR Marker INAC (10D)</w:t>
            </w:r>
          </w:p>
        </w:tc>
        <w:tc>
          <w:tcPr>
            <w:tcW w:w="1843" w:type="dxa"/>
          </w:tcPr>
          <w:p w14:paraId="25172540" w14:textId="77777777" w:rsidR="004B0B5E" w:rsidRDefault="004B0B5E" w:rsidP="00792541">
            <w:pPr>
              <w:jc w:val="both"/>
            </w:pPr>
            <w:r>
              <w:t>Dès 3 mois</w:t>
            </w:r>
          </w:p>
        </w:tc>
        <w:tc>
          <w:tcPr>
            <w:tcW w:w="2551" w:type="dxa"/>
          </w:tcPr>
          <w:p w14:paraId="03FCC805" w14:textId="77777777" w:rsidR="004B0B5E" w:rsidRDefault="004B0B5E" w:rsidP="00792541">
            <w:pPr>
              <w:jc w:val="both"/>
            </w:pPr>
            <w:r>
              <w:t>2 fois à 3 semaines d’intervalle</w:t>
            </w:r>
          </w:p>
        </w:tc>
        <w:tc>
          <w:tcPr>
            <w:tcW w:w="2127" w:type="dxa"/>
          </w:tcPr>
          <w:p w14:paraId="13920B09" w14:textId="77777777" w:rsidR="004B0B5E" w:rsidRDefault="004B0B5E" w:rsidP="00792541">
            <w:pPr>
              <w:jc w:val="both"/>
            </w:pPr>
            <w:r>
              <w:t>Chaque 6 mois</w:t>
            </w:r>
          </w:p>
        </w:tc>
        <w:tc>
          <w:tcPr>
            <w:tcW w:w="1278" w:type="dxa"/>
          </w:tcPr>
          <w:p w14:paraId="64BE19FB" w14:textId="77777777" w:rsidR="004B0B5E" w:rsidRDefault="004B0B5E" w:rsidP="00792541">
            <w:pPr>
              <w:jc w:val="both"/>
            </w:pPr>
            <w:r>
              <w:t>IM</w:t>
            </w:r>
          </w:p>
        </w:tc>
      </w:tr>
      <w:tr w:rsidR="004B0B5E" w14:paraId="7719A461" w14:textId="77777777" w:rsidTr="00FA044B">
        <w:tc>
          <w:tcPr>
            <w:tcW w:w="1526" w:type="dxa"/>
          </w:tcPr>
          <w:p w14:paraId="147B6011" w14:textId="77777777" w:rsidR="004B0B5E" w:rsidRPr="00F8496D" w:rsidRDefault="004B0B5E" w:rsidP="00792541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F8496D">
              <w:rPr>
                <w:b/>
                <w:bCs/>
                <w:lang w:val="en-US"/>
              </w:rPr>
              <w:t>Bovilis</w:t>
            </w:r>
            <w:proofErr w:type="spellEnd"/>
            <w:r w:rsidRPr="00F8496D">
              <w:rPr>
                <w:b/>
                <w:bCs/>
                <w:lang w:val="en-US"/>
              </w:rPr>
              <w:t xml:space="preserve"> IBR Marker Live (5D, 10D, 25D, 50D)</w:t>
            </w:r>
          </w:p>
        </w:tc>
        <w:tc>
          <w:tcPr>
            <w:tcW w:w="1843" w:type="dxa"/>
          </w:tcPr>
          <w:p w14:paraId="5C2134EE" w14:textId="77777777" w:rsidR="004B0B5E" w:rsidRDefault="004B0B5E" w:rsidP="00792541">
            <w:pPr>
              <w:jc w:val="both"/>
            </w:pPr>
            <w:r>
              <w:t>Intranasal : de 15j à 3 mois</w:t>
            </w:r>
          </w:p>
          <w:p w14:paraId="00F8769E" w14:textId="77777777" w:rsidR="004B0B5E" w:rsidRDefault="004B0B5E" w:rsidP="00792541">
            <w:pPr>
              <w:jc w:val="both"/>
            </w:pPr>
          </w:p>
          <w:p w14:paraId="56EB2AF1" w14:textId="77777777" w:rsidR="004B0B5E" w:rsidRDefault="004B0B5E" w:rsidP="00792541">
            <w:pPr>
              <w:jc w:val="both"/>
            </w:pPr>
            <w:r>
              <w:t xml:space="preserve">Intramusculaire : dès 3 mois. </w:t>
            </w:r>
          </w:p>
        </w:tc>
        <w:tc>
          <w:tcPr>
            <w:tcW w:w="2551" w:type="dxa"/>
          </w:tcPr>
          <w:p w14:paraId="16DB4B74" w14:textId="77777777" w:rsidR="004B0B5E" w:rsidRDefault="004B0B5E" w:rsidP="00792541">
            <w:pPr>
              <w:jc w:val="both"/>
            </w:pPr>
            <w:r>
              <w:t xml:space="preserve">Précoce : veau de 15j à 3 mois, par voie intranasale, puis rappel à 3-4 mois. </w:t>
            </w:r>
          </w:p>
          <w:p w14:paraId="75EA4F4B" w14:textId="77777777" w:rsidR="004B0B5E" w:rsidRDefault="004B0B5E" w:rsidP="00792541">
            <w:pPr>
              <w:jc w:val="both"/>
            </w:pPr>
            <w:r>
              <w:t>Sinon : 1 dose dès 3 mois</w:t>
            </w:r>
          </w:p>
        </w:tc>
        <w:tc>
          <w:tcPr>
            <w:tcW w:w="2127" w:type="dxa"/>
          </w:tcPr>
          <w:p w14:paraId="38F0EC41" w14:textId="77777777" w:rsidR="004B0B5E" w:rsidRDefault="004B0B5E" w:rsidP="00792541">
            <w:pPr>
              <w:jc w:val="both"/>
            </w:pPr>
            <w:r>
              <w:t xml:space="preserve">Rappel 6 mois après, et ensuite rappel moins de 12 mois après. </w:t>
            </w:r>
          </w:p>
        </w:tc>
        <w:tc>
          <w:tcPr>
            <w:tcW w:w="1278" w:type="dxa"/>
          </w:tcPr>
          <w:p w14:paraId="0DA444C5" w14:textId="77777777" w:rsidR="004B0B5E" w:rsidRDefault="004B0B5E" w:rsidP="00792541">
            <w:pPr>
              <w:jc w:val="both"/>
            </w:pPr>
            <w:r>
              <w:t xml:space="preserve">Intranasale ou IM </w:t>
            </w:r>
          </w:p>
          <w:p w14:paraId="71EEF428" w14:textId="77777777" w:rsidR="004B0B5E" w:rsidRDefault="004B0B5E" w:rsidP="00792541">
            <w:pPr>
              <w:jc w:val="both"/>
            </w:pPr>
          </w:p>
        </w:tc>
      </w:tr>
      <w:tr w:rsidR="004B0B5E" w14:paraId="39166A33" w14:textId="77777777" w:rsidTr="00FA044B">
        <w:tc>
          <w:tcPr>
            <w:tcW w:w="1526" w:type="dxa"/>
          </w:tcPr>
          <w:p w14:paraId="2DC41533" w14:textId="77777777" w:rsidR="004B0B5E" w:rsidRPr="00F8496D" w:rsidRDefault="004B0B5E" w:rsidP="00792541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F8496D">
              <w:rPr>
                <w:b/>
                <w:bCs/>
                <w:lang w:val="en-US"/>
              </w:rPr>
              <w:t>Hiprabovis</w:t>
            </w:r>
            <w:proofErr w:type="spellEnd"/>
            <w:r w:rsidRPr="00F8496D">
              <w:rPr>
                <w:b/>
                <w:bCs/>
                <w:lang w:val="en-US"/>
              </w:rPr>
              <w:t xml:space="preserve"> IBR Marker (5D, 25D)</w:t>
            </w:r>
          </w:p>
        </w:tc>
        <w:tc>
          <w:tcPr>
            <w:tcW w:w="1843" w:type="dxa"/>
          </w:tcPr>
          <w:p w14:paraId="566E1806" w14:textId="77777777" w:rsidR="004B0B5E" w:rsidRDefault="004B0B5E" w:rsidP="00792541">
            <w:pPr>
              <w:jc w:val="both"/>
            </w:pPr>
            <w:r>
              <w:t>3 mois</w:t>
            </w:r>
          </w:p>
        </w:tc>
        <w:tc>
          <w:tcPr>
            <w:tcW w:w="2551" w:type="dxa"/>
          </w:tcPr>
          <w:p w14:paraId="589C777E" w14:textId="77777777" w:rsidR="004B0B5E" w:rsidRDefault="004B0B5E" w:rsidP="00792541">
            <w:pPr>
              <w:jc w:val="both"/>
            </w:pPr>
            <w:proofErr w:type="gramStart"/>
            <w:r>
              <w:t>2  fois</w:t>
            </w:r>
            <w:proofErr w:type="gramEnd"/>
            <w:r>
              <w:t xml:space="preserve"> à 3 semaines d’intervalle</w:t>
            </w:r>
          </w:p>
          <w:p w14:paraId="05A10A66" w14:textId="77777777" w:rsidR="004B0B5E" w:rsidRDefault="004B0B5E" w:rsidP="00792541">
            <w:pPr>
              <w:jc w:val="both"/>
            </w:pPr>
          </w:p>
        </w:tc>
        <w:tc>
          <w:tcPr>
            <w:tcW w:w="2127" w:type="dxa"/>
          </w:tcPr>
          <w:p w14:paraId="0E189491" w14:textId="77777777" w:rsidR="004B0B5E" w:rsidRDefault="004B0B5E" w:rsidP="00792541">
            <w:pPr>
              <w:jc w:val="both"/>
            </w:pPr>
            <w:r>
              <w:t xml:space="preserve">Rappel : chaque 6 mois.  </w:t>
            </w:r>
          </w:p>
        </w:tc>
        <w:tc>
          <w:tcPr>
            <w:tcW w:w="1278" w:type="dxa"/>
          </w:tcPr>
          <w:p w14:paraId="60084A47" w14:textId="77777777" w:rsidR="004B0B5E" w:rsidRDefault="004B0B5E" w:rsidP="00792541">
            <w:pPr>
              <w:jc w:val="both"/>
            </w:pPr>
            <w:r>
              <w:t>IM</w:t>
            </w:r>
          </w:p>
        </w:tc>
      </w:tr>
      <w:tr w:rsidR="004B0B5E" w14:paraId="0E37920F" w14:textId="77777777" w:rsidTr="00FA044B">
        <w:tc>
          <w:tcPr>
            <w:tcW w:w="1526" w:type="dxa"/>
          </w:tcPr>
          <w:p w14:paraId="2BF4E94A" w14:textId="77777777" w:rsidR="004B0B5E" w:rsidRPr="00F8496D" w:rsidRDefault="004B0B5E" w:rsidP="00792541">
            <w:pPr>
              <w:jc w:val="both"/>
              <w:rPr>
                <w:b/>
                <w:bCs/>
              </w:rPr>
            </w:pPr>
            <w:proofErr w:type="spellStart"/>
            <w:r w:rsidRPr="00F8496D">
              <w:rPr>
                <w:b/>
                <w:bCs/>
              </w:rPr>
              <w:t>Iffavax</w:t>
            </w:r>
            <w:proofErr w:type="spellEnd"/>
            <w:r w:rsidRPr="00F8496D">
              <w:rPr>
                <w:b/>
                <w:bCs/>
              </w:rPr>
              <w:t xml:space="preserve"> IBR (20D)</w:t>
            </w:r>
          </w:p>
        </w:tc>
        <w:tc>
          <w:tcPr>
            <w:tcW w:w="1843" w:type="dxa"/>
          </w:tcPr>
          <w:p w14:paraId="6DA68FA6" w14:textId="77777777" w:rsidR="004B0B5E" w:rsidRDefault="004B0B5E" w:rsidP="00792541">
            <w:pPr>
              <w:jc w:val="both"/>
            </w:pPr>
            <w:r>
              <w:t>7 jours</w:t>
            </w:r>
          </w:p>
        </w:tc>
        <w:tc>
          <w:tcPr>
            <w:tcW w:w="2551" w:type="dxa"/>
          </w:tcPr>
          <w:p w14:paraId="29E1D65B" w14:textId="77777777" w:rsidR="004B0B5E" w:rsidRDefault="004B0B5E" w:rsidP="00792541">
            <w:pPr>
              <w:jc w:val="both"/>
            </w:pPr>
            <w:r>
              <w:t>1ère dose : à partir de l'âge de 7 jours.</w:t>
            </w:r>
            <w:r>
              <w:br/>
              <w:t>2</w:t>
            </w:r>
            <w:r w:rsidRPr="00462E3F">
              <w:rPr>
                <w:vertAlign w:val="superscript"/>
              </w:rPr>
              <w:t>ème</w:t>
            </w:r>
            <w:r>
              <w:t xml:space="preserve"> dose : 1 mois après la 1</w:t>
            </w:r>
            <w:r>
              <w:rPr>
                <w:vertAlign w:val="superscript"/>
              </w:rPr>
              <w:t>re</w:t>
            </w:r>
            <w:r>
              <w:t> dose.</w:t>
            </w:r>
          </w:p>
        </w:tc>
        <w:tc>
          <w:tcPr>
            <w:tcW w:w="2127" w:type="dxa"/>
          </w:tcPr>
          <w:p w14:paraId="57E92F0F" w14:textId="77777777" w:rsidR="004B0B5E" w:rsidRDefault="004B0B5E" w:rsidP="00792541">
            <w:pPr>
              <w:jc w:val="both"/>
            </w:pPr>
            <w:r>
              <w:t xml:space="preserve">Données AMM : </w:t>
            </w:r>
          </w:p>
          <w:p w14:paraId="27BF2FA9" w14:textId="77777777" w:rsidR="004B0B5E" w:rsidRDefault="004B0B5E" w:rsidP="00792541">
            <w:pPr>
              <w:jc w:val="both"/>
            </w:pPr>
            <w:r>
              <w:t>Chez le jeune : 1 injection 4 à 6 mois après la 1</w:t>
            </w:r>
            <w:r>
              <w:rPr>
                <w:vertAlign w:val="superscript"/>
              </w:rPr>
              <w:t>re</w:t>
            </w:r>
            <w:r>
              <w:t> injection.</w:t>
            </w:r>
            <w:r>
              <w:br/>
              <w:t>Rappels annuels, si nécessaire.</w:t>
            </w:r>
          </w:p>
        </w:tc>
        <w:tc>
          <w:tcPr>
            <w:tcW w:w="1278" w:type="dxa"/>
          </w:tcPr>
          <w:p w14:paraId="6C943EBC" w14:textId="77777777" w:rsidR="004B0B5E" w:rsidRDefault="004B0B5E" w:rsidP="00792541">
            <w:pPr>
              <w:jc w:val="both"/>
            </w:pPr>
            <w:r>
              <w:t>SC</w:t>
            </w:r>
          </w:p>
        </w:tc>
      </w:tr>
      <w:tr w:rsidR="004B0B5E" w14:paraId="6F7EF9AD" w14:textId="77777777" w:rsidTr="00FA044B">
        <w:tc>
          <w:tcPr>
            <w:tcW w:w="1526" w:type="dxa"/>
          </w:tcPr>
          <w:p w14:paraId="04EB0253" w14:textId="77777777" w:rsidR="004B0B5E" w:rsidRPr="00F8496D" w:rsidRDefault="004B0B5E" w:rsidP="00792541">
            <w:pPr>
              <w:jc w:val="both"/>
              <w:rPr>
                <w:b/>
                <w:bCs/>
              </w:rPr>
            </w:pPr>
            <w:proofErr w:type="spellStart"/>
            <w:r w:rsidRPr="00F8496D">
              <w:rPr>
                <w:b/>
                <w:bCs/>
              </w:rPr>
              <w:t>Rispoval</w:t>
            </w:r>
            <w:proofErr w:type="spellEnd"/>
            <w:r w:rsidRPr="00F8496D">
              <w:rPr>
                <w:b/>
                <w:bCs/>
              </w:rPr>
              <w:t xml:space="preserve"> 4 BVD RS Pi3 IBR (5D)</w:t>
            </w:r>
          </w:p>
        </w:tc>
        <w:tc>
          <w:tcPr>
            <w:tcW w:w="1843" w:type="dxa"/>
          </w:tcPr>
          <w:p w14:paraId="46C4D875" w14:textId="77777777" w:rsidR="004B0B5E" w:rsidRDefault="004B0B5E" w:rsidP="00792541">
            <w:pPr>
              <w:jc w:val="both"/>
            </w:pPr>
            <w:r>
              <w:t>3 mois</w:t>
            </w:r>
          </w:p>
        </w:tc>
        <w:tc>
          <w:tcPr>
            <w:tcW w:w="2551" w:type="dxa"/>
          </w:tcPr>
          <w:p w14:paraId="08B0E416" w14:textId="77777777" w:rsidR="004B0B5E" w:rsidRDefault="004B0B5E" w:rsidP="00792541">
            <w:pPr>
              <w:jc w:val="both"/>
            </w:pPr>
            <w:r>
              <w:t>2 doses à 3-4 semaines d’intervalle </w:t>
            </w:r>
          </w:p>
        </w:tc>
        <w:tc>
          <w:tcPr>
            <w:tcW w:w="2127" w:type="dxa"/>
          </w:tcPr>
          <w:p w14:paraId="052AE2D5" w14:textId="77777777" w:rsidR="004B0B5E" w:rsidRDefault="004B0B5E" w:rsidP="00792541">
            <w:pPr>
              <w:jc w:val="both"/>
            </w:pPr>
            <w:r>
              <w:t>2 doses à 3-4 semaines d’intervalle chaque 6 mois</w:t>
            </w:r>
          </w:p>
        </w:tc>
        <w:tc>
          <w:tcPr>
            <w:tcW w:w="1278" w:type="dxa"/>
          </w:tcPr>
          <w:p w14:paraId="594CB9C1" w14:textId="77777777" w:rsidR="004B0B5E" w:rsidRDefault="004B0B5E" w:rsidP="00792541">
            <w:pPr>
              <w:jc w:val="both"/>
            </w:pPr>
            <w:r>
              <w:t>IM</w:t>
            </w:r>
          </w:p>
        </w:tc>
      </w:tr>
      <w:tr w:rsidR="004B0B5E" w14:paraId="69702F18" w14:textId="77777777" w:rsidTr="00FA044B">
        <w:tc>
          <w:tcPr>
            <w:tcW w:w="1526" w:type="dxa"/>
          </w:tcPr>
          <w:p w14:paraId="753D5682" w14:textId="77777777" w:rsidR="004B0B5E" w:rsidRPr="00F8496D" w:rsidRDefault="004B0B5E" w:rsidP="00792541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F8496D">
              <w:rPr>
                <w:b/>
                <w:bCs/>
                <w:lang w:val="en-US"/>
              </w:rPr>
              <w:t>Rispoval</w:t>
            </w:r>
            <w:proofErr w:type="spellEnd"/>
            <w:r w:rsidRPr="00F8496D">
              <w:rPr>
                <w:b/>
                <w:bCs/>
                <w:lang w:val="en-US"/>
              </w:rPr>
              <w:t xml:space="preserve"> IBR marker (10D, 50D)</w:t>
            </w:r>
          </w:p>
        </w:tc>
        <w:tc>
          <w:tcPr>
            <w:tcW w:w="1843" w:type="dxa"/>
          </w:tcPr>
          <w:p w14:paraId="4D2CB263" w14:textId="77777777" w:rsidR="004B0B5E" w:rsidRDefault="004B0B5E" w:rsidP="00792541">
            <w:pPr>
              <w:jc w:val="both"/>
            </w:pPr>
            <w:r>
              <w:t>3 mois</w:t>
            </w:r>
          </w:p>
        </w:tc>
        <w:tc>
          <w:tcPr>
            <w:tcW w:w="2551" w:type="dxa"/>
          </w:tcPr>
          <w:p w14:paraId="46C44EDD" w14:textId="77777777" w:rsidR="004B0B5E" w:rsidRDefault="004B0B5E" w:rsidP="00792541">
            <w:pPr>
              <w:jc w:val="both"/>
            </w:pPr>
            <w:r>
              <w:t>2 doses à 3-5 semaines d’intervalle </w:t>
            </w:r>
          </w:p>
        </w:tc>
        <w:tc>
          <w:tcPr>
            <w:tcW w:w="2127" w:type="dxa"/>
          </w:tcPr>
          <w:p w14:paraId="74125863" w14:textId="77777777" w:rsidR="004B0B5E" w:rsidRDefault="004B0B5E" w:rsidP="00792541">
            <w:pPr>
              <w:jc w:val="both"/>
            </w:pPr>
            <w:r>
              <w:t>1 dose chaque 6 mois</w:t>
            </w:r>
          </w:p>
        </w:tc>
        <w:tc>
          <w:tcPr>
            <w:tcW w:w="1278" w:type="dxa"/>
          </w:tcPr>
          <w:p w14:paraId="7ED5C193" w14:textId="77777777" w:rsidR="004B0B5E" w:rsidRDefault="004B0B5E" w:rsidP="00792541">
            <w:pPr>
              <w:jc w:val="both"/>
            </w:pPr>
            <w:r>
              <w:t>SC</w:t>
            </w:r>
          </w:p>
        </w:tc>
      </w:tr>
    </w:tbl>
    <w:p w14:paraId="4A98A35C" w14:textId="77777777" w:rsidR="004B0B5E" w:rsidRDefault="004B0B5E" w:rsidP="00792541">
      <w:pPr>
        <w:jc w:val="both"/>
      </w:pPr>
    </w:p>
    <w:p w14:paraId="7A429BD9" w14:textId="111C2D45" w:rsidR="004569F4" w:rsidRPr="004569F4" w:rsidRDefault="004569F4" w:rsidP="00792541">
      <w:pPr>
        <w:jc w:val="both"/>
        <w:rPr>
          <w:u w:val="single"/>
        </w:rPr>
      </w:pPr>
      <w:r w:rsidRPr="004569F4">
        <w:rPr>
          <w:u w:val="single"/>
        </w:rPr>
        <w:t xml:space="preserve">Remarque : les autres évolutions de la LSA pour cette campagne de prophylaxie : </w:t>
      </w:r>
    </w:p>
    <w:p w14:paraId="2FCE1075" w14:textId="177E5ACD" w:rsidR="003103A4" w:rsidRDefault="004569F4" w:rsidP="00792541">
      <w:pPr>
        <w:jc w:val="both"/>
      </w:pPr>
      <w:r>
        <w:t>La F</w:t>
      </w:r>
      <w:r w:rsidR="00792541">
        <w:t xml:space="preserve">CO </w:t>
      </w:r>
      <w:r>
        <w:t>est déclassée. Sa surveillance reposera sur la réalisation de 180 prises de sang par départements</w:t>
      </w:r>
      <w:r w:rsidR="00491745">
        <w:t xml:space="preserve"> (20 par </w:t>
      </w:r>
      <w:r w:rsidR="00792541">
        <w:t>élevage) pour</w:t>
      </w:r>
      <w:r>
        <w:t xml:space="preserve"> réalisation de PCR sur tube EDTA (au lieu de </w:t>
      </w:r>
      <w:proofErr w:type="spellStart"/>
      <w:r>
        <w:t>sero</w:t>
      </w:r>
      <w:proofErr w:type="spellEnd"/>
      <w:r>
        <w:t xml:space="preserve"> sur tube sec), dans 9 élevages par département, avant fin décembre. La gestion se fera par chaque DDE</w:t>
      </w:r>
      <w:r w:rsidR="00F636CC">
        <w:t>T</w:t>
      </w:r>
      <w:r>
        <w:t xml:space="preserve">SPP (tirage au sort des élevages). </w:t>
      </w:r>
    </w:p>
    <w:sectPr w:rsidR="003103A4" w:rsidSect="004B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57C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CFF3C13"/>
    <w:multiLevelType w:val="hybridMultilevel"/>
    <w:tmpl w:val="5B7AB0AE"/>
    <w:lvl w:ilvl="0" w:tplc="237C9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C6F84"/>
    <w:multiLevelType w:val="hybridMultilevel"/>
    <w:tmpl w:val="E7540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90086"/>
    <w:multiLevelType w:val="multilevel"/>
    <w:tmpl w:val="1F78B40C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C2"/>
    <w:rsid w:val="000A2B2A"/>
    <w:rsid w:val="003103A4"/>
    <w:rsid w:val="00351CF1"/>
    <w:rsid w:val="004569F4"/>
    <w:rsid w:val="00462E3F"/>
    <w:rsid w:val="00491745"/>
    <w:rsid w:val="004B0B5E"/>
    <w:rsid w:val="004C53C2"/>
    <w:rsid w:val="00564BB5"/>
    <w:rsid w:val="005F7102"/>
    <w:rsid w:val="00672252"/>
    <w:rsid w:val="00792541"/>
    <w:rsid w:val="007E6881"/>
    <w:rsid w:val="00885FA7"/>
    <w:rsid w:val="009E0D42"/>
    <w:rsid w:val="00A022A5"/>
    <w:rsid w:val="00A2680A"/>
    <w:rsid w:val="00A636C7"/>
    <w:rsid w:val="00A75F4A"/>
    <w:rsid w:val="00AC6710"/>
    <w:rsid w:val="00B10ACA"/>
    <w:rsid w:val="00B6792A"/>
    <w:rsid w:val="00C33D87"/>
    <w:rsid w:val="00C40C74"/>
    <w:rsid w:val="00C976FC"/>
    <w:rsid w:val="00CF0CD2"/>
    <w:rsid w:val="00DB2220"/>
    <w:rsid w:val="00DB3D68"/>
    <w:rsid w:val="00E371E9"/>
    <w:rsid w:val="00E468FA"/>
    <w:rsid w:val="00F636CC"/>
    <w:rsid w:val="00F8496D"/>
    <w:rsid w:val="00F946AE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4C1B"/>
  <w15:docId w15:val="{575F87FE-73FB-461F-8EEA-DC9DDAB7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0ACA"/>
    <w:pPr>
      <w:ind w:left="720"/>
      <w:contextualSpacing/>
    </w:pPr>
  </w:style>
  <w:style w:type="numbering" w:customStyle="1" w:styleId="Listeactuelle1">
    <w:name w:val="Liste actuelle1"/>
    <w:uiPriority w:val="99"/>
    <w:rsid w:val="00B10ACA"/>
    <w:pPr>
      <w:numPr>
        <w:numId w:val="4"/>
      </w:numPr>
    </w:pPr>
  </w:style>
  <w:style w:type="character" w:styleId="Lienhypertexte">
    <w:name w:val="Hyperlink"/>
    <w:basedOn w:val="Policepardfaut"/>
    <w:uiPriority w:val="99"/>
    <w:unhideWhenUsed/>
    <w:rsid w:val="00C976F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222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2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6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93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3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0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19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6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6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26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18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2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14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879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34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35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92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69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5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04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74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060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88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1360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 KERN-BENAIBOUT</dc:creator>
  <cp:lastModifiedBy>GTV</cp:lastModifiedBy>
  <cp:revision>3</cp:revision>
  <dcterms:created xsi:type="dcterms:W3CDTF">2021-08-27T07:00:00Z</dcterms:created>
  <dcterms:modified xsi:type="dcterms:W3CDTF">2021-08-27T07:00:00Z</dcterms:modified>
</cp:coreProperties>
</file>