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4A88" w14:textId="77777777" w:rsidR="00582C66" w:rsidRPr="008E3C86" w:rsidRDefault="00582C66" w:rsidP="00582C6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E3C86">
        <w:rPr>
          <w:rFonts w:ascii="Arial" w:hAnsi="Arial" w:cs="Arial"/>
          <w:b/>
          <w:sz w:val="20"/>
          <w:szCs w:val="20"/>
        </w:rPr>
        <w:t>ANNEXE</w:t>
      </w:r>
    </w:p>
    <w:tbl>
      <w:tblPr>
        <w:tblStyle w:val="Grilledutableau"/>
        <w:tblW w:w="10506" w:type="dxa"/>
        <w:tblLook w:val="04A0" w:firstRow="1" w:lastRow="0" w:firstColumn="1" w:lastColumn="0" w:noHBand="0" w:noVBand="1"/>
      </w:tblPr>
      <w:tblGrid>
        <w:gridCol w:w="1862"/>
        <w:gridCol w:w="1844"/>
        <w:gridCol w:w="4816"/>
        <w:gridCol w:w="1984"/>
      </w:tblGrid>
      <w:tr w:rsidR="00582C66" w:rsidRPr="00595230" w14:paraId="2CFE93F5" w14:textId="77777777" w:rsidTr="0077710B">
        <w:trPr>
          <w:trHeight w:val="589"/>
        </w:trPr>
        <w:tc>
          <w:tcPr>
            <w:tcW w:w="1862" w:type="dxa"/>
            <w:vAlign w:val="center"/>
            <w:hideMark/>
          </w:tcPr>
          <w:p w14:paraId="3E5A3F0A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1844" w:type="dxa"/>
            <w:vAlign w:val="center"/>
            <w:hideMark/>
          </w:tcPr>
          <w:p w14:paraId="27313162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>cadre</w:t>
            </w:r>
            <w:proofErr w:type="gramEnd"/>
          </w:p>
        </w:tc>
        <w:tc>
          <w:tcPr>
            <w:tcW w:w="4816" w:type="dxa"/>
            <w:vAlign w:val="center"/>
            <w:hideMark/>
          </w:tcPr>
          <w:p w14:paraId="254052C5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proofErr w:type="gramEnd"/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 réaliser</w:t>
            </w:r>
          </w:p>
        </w:tc>
        <w:tc>
          <w:tcPr>
            <w:tcW w:w="1984" w:type="dxa"/>
            <w:vAlign w:val="center"/>
            <w:hideMark/>
          </w:tcPr>
          <w:p w14:paraId="2FB42510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>priorité</w:t>
            </w:r>
            <w:proofErr w:type="gramEnd"/>
            <w:r w:rsidRPr="00777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les analyses en labo</w:t>
            </w:r>
          </w:p>
        </w:tc>
      </w:tr>
      <w:tr w:rsidR="003730CD" w:rsidRPr="00595230" w14:paraId="36F17D79" w14:textId="77777777" w:rsidTr="0077710B">
        <w:trPr>
          <w:trHeight w:val="544"/>
        </w:trPr>
        <w:tc>
          <w:tcPr>
            <w:tcW w:w="1862" w:type="dxa"/>
            <w:vMerge w:val="restart"/>
            <w:vAlign w:val="center"/>
            <w:hideMark/>
          </w:tcPr>
          <w:p w14:paraId="3D7ED9DF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Bovins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46791EDF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Prophylaxie</w:t>
            </w:r>
          </w:p>
          <w:p w14:paraId="2FA22934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Tuberculose, brucellose, leucose, IBR</w:t>
            </w:r>
          </w:p>
        </w:tc>
        <w:tc>
          <w:tcPr>
            <w:tcW w:w="4816" w:type="dxa"/>
            <w:tcBorders>
              <w:bottom w:val="nil"/>
            </w:tcBorders>
            <w:vAlign w:val="center"/>
            <w:hideMark/>
          </w:tcPr>
          <w:p w14:paraId="7B1381B6" w14:textId="77777777" w:rsidR="003730CD" w:rsidRPr="0077710B" w:rsidRDefault="00950205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</w:t>
            </w:r>
            <w:r w:rsidR="003730CD" w:rsidRPr="0077710B">
              <w:rPr>
                <w:rFonts w:ascii="Arial" w:hAnsi="Arial" w:cs="Arial"/>
                <w:sz w:val="20"/>
                <w:szCs w:val="20"/>
              </w:rPr>
              <w:t>rélèvements</w:t>
            </w:r>
            <w:proofErr w:type="gramEnd"/>
            <w:r w:rsidR="003730CD" w:rsidRPr="0077710B">
              <w:rPr>
                <w:rFonts w:ascii="Arial" w:hAnsi="Arial" w:cs="Arial"/>
                <w:sz w:val="20"/>
                <w:szCs w:val="20"/>
              </w:rPr>
              <w:t xml:space="preserve"> sanguins et </w:t>
            </w:r>
            <w:proofErr w:type="spellStart"/>
            <w:r w:rsidR="003730CD" w:rsidRPr="0077710B">
              <w:rPr>
                <w:rFonts w:ascii="Arial" w:hAnsi="Arial" w:cs="Arial"/>
                <w:sz w:val="20"/>
                <w:szCs w:val="20"/>
              </w:rPr>
              <w:t>intradermotuberculinations</w:t>
            </w:r>
            <w:proofErr w:type="spellEnd"/>
            <w:r w:rsidR="003730CD" w:rsidRPr="0077710B">
              <w:rPr>
                <w:rFonts w:ascii="Arial" w:hAnsi="Arial" w:cs="Arial"/>
                <w:sz w:val="20"/>
                <w:szCs w:val="20"/>
              </w:rPr>
              <w:t xml:space="preserve"> (IDT) :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14:paraId="36640A72" w14:textId="77777777" w:rsidR="003730CD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0CD" w:rsidRPr="00595230" w14:paraId="33642AE2" w14:textId="77777777" w:rsidTr="0077710B">
        <w:trPr>
          <w:trHeight w:val="544"/>
        </w:trPr>
        <w:tc>
          <w:tcPr>
            <w:tcW w:w="1862" w:type="dxa"/>
            <w:vMerge/>
            <w:vAlign w:val="center"/>
          </w:tcPr>
          <w:p w14:paraId="69675E6D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D9E62C6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vAlign w:val="center"/>
          </w:tcPr>
          <w:p w14:paraId="00402458" w14:textId="77777777" w:rsidR="003730CD" w:rsidRPr="0077710B" w:rsidRDefault="003730CD" w:rsidP="003730C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les animaux doivent sortir tout de suite (mise à l'herbe) les prélèvements et IDT ne peuvent pas être différés 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BEF25A" w14:textId="77777777" w:rsidR="003730CD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analyse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prioritaires</w:t>
            </w:r>
          </w:p>
        </w:tc>
      </w:tr>
      <w:tr w:rsidR="003730CD" w:rsidRPr="00595230" w14:paraId="73DE4EB8" w14:textId="77777777" w:rsidTr="0077710B">
        <w:trPr>
          <w:trHeight w:val="539"/>
        </w:trPr>
        <w:tc>
          <w:tcPr>
            <w:tcW w:w="1862" w:type="dxa"/>
            <w:vMerge/>
            <w:vAlign w:val="center"/>
            <w:hideMark/>
          </w:tcPr>
          <w:p w14:paraId="24CDED34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B11BA36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</w:tcBorders>
            <w:vAlign w:val="center"/>
            <w:hideMark/>
          </w:tcPr>
          <w:p w14:paraId="422166AF" w14:textId="77777777" w:rsidR="003730CD" w:rsidRPr="0077710B" w:rsidRDefault="003730CD" w:rsidP="0095020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les animaux sont accessibles dans les 3 mois</w:t>
            </w:r>
            <w:r w:rsidR="00950205" w:rsidRPr="0077710B">
              <w:rPr>
                <w:rFonts w:ascii="Arial" w:hAnsi="Arial" w:cs="Arial"/>
                <w:sz w:val="20"/>
                <w:szCs w:val="20"/>
              </w:rPr>
              <w:t xml:space="preserve"> qui viennent (cas des cheptels laitiers), les prélèvements et IDT peuvent être différés en cas de force majeur.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166D22D7" w14:textId="77777777" w:rsidR="003730CD" w:rsidRPr="0077710B" w:rsidRDefault="00572EB2" w:rsidP="00373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possible</w:t>
            </w:r>
          </w:p>
        </w:tc>
      </w:tr>
      <w:tr w:rsidR="003730CD" w:rsidRPr="00595230" w14:paraId="7E3DAE87" w14:textId="77777777" w:rsidTr="0077710B">
        <w:trPr>
          <w:trHeight w:val="808"/>
        </w:trPr>
        <w:tc>
          <w:tcPr>
            <w:tcW w:w="1862" w:type="dxa"/>
            <w:vMerge/>
            <w:vAlign w:val="center"/>
            <w:hideMark/>
          </w:tcPr>
          <w:p w14:paraId="327EE706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  <w:hideMark/>
          </w:tcPr>
          <w:p w14:paraId="4971A686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BVD</w:t>
            </w:r>
          </w:p>
        </w:tc>
        <w:tc>
          <w:tcPr>
            <w:tcW w:w="4816" w:type="dxa"/>
            <w:vAlign w:val="center"/>
            <w:hideMark/>
          </w:tcPr>
          <w:p w14:paraId="280E3840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arrêt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des prélèvements sanguins si pas associés à une autre prophylaxie</w:t>
            </w:r>
          </w:p>
        </w:tc>
        <w:tc>
          <w:tcPr>
            <w:tcW w:w="1984" w:type="dxa"/>
            <w:vAlign w:val="center"/>
            <w:hideMark/>
          </w:tcPr>
          <w:p w14:paraId="4490B35C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prélèvements réalisés, à stocker pour analyse ultérieure</w:t>
            </w:r>
          </w:p>
        </w:tc>
      </w:tr>
      <w:tr w:rsidR="003730CD" w:rsidRPr="00595230" w14:paraId="6416FEE6" w14:textId="77777777" w:rsidTr="0077710B">
        <w:trPr>
          <w:trHeight w:val="539"/>
        </w:trPr>
        <w:tc>
          <w:tcPr>
            <w:tcW w:w="1862" w:type="dxa"/>
            <w:vMerge/>
            <w:vAlign w:val="center"/>
            <w:hideMark/>
          </w:tcPr>
          <w:p w14:paraId="1F5D76A4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F9D4652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  <w:hideMark/>
          </w:tcPr>
          <w:p w14:paraId="2F9FA257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dépistage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sur cartilage par boucle auriculaire, si pas d'autre moyen de bouclage</w:t>
            </w:r>
          </w:p>
        </w:tc>
        <w:tc>
          <w:tcPr>
            <w:tcW w:w="1984" w:type="dxa"/>
            <w:vAlign w:val="center"/>
            <w:hideMark/>
          </w:tcPr>
          <w:p w14:paraId="1A23A253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reporter. Congélation à l'élevage.</w:t>
            </w:r>
          </w:p>
        </w:tc>
      </w:tr>
      <w:tr w:rsidR="003730CD" w:rsidRPr="00595230" w14:paraId="5D2A5F98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613DB8F6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17ED956E" w14:textId="77777777" w:rsidR="003730CD" w:rsidRPr="0077710B" w:rsidRDefault="0077710B" w:rsidP="003730CD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E</w:t>
            </w:r>
            <w:r w:rsidR="003730CD" w:rsidRPr="0077710B">
              <w:rPr>
                <w:rFonts w:ascii="Arial" w:hAnsi="Arial" w:cs="Arial"/>
                <w:sz w:val="20"/>
                <w:szCs w:val="20"/>
              </w:rPr>
              <w:t>changes</w:t>
            </w:r>
          </w:p>
        </w:tc>
        <w:tc>
          <w:tcPr>
            <w:tcW w:w="4816" w:type="dxa"/>
            <w:vAlign w:val="center"/>
            <w:hideMark/>
          </w:tcPr>
          <w:p w14:paraId="108A4B32" w14:textId="77777777" w:rsidR="003730CD" w:rsidRPr="0077710B" w:rsidRDefault="003730CD" w:rsidP="003A44BA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PCR FCO pour l’Espagne</w:t>
            </w:r>
          </w:p>
          <w:p w14:paraId="2473736A" w14:textId="77777777" w:rsidR="003730CD" w:rsidRPr="0077710B" w:rsidRDefault="003730CD" w:rsidP="003A44BA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 xml:space="preserve">IBR pour Allemagne, suisse &amp; Belgique </w:t>
            </w:r>
          </w:p>
        </w:tc>
        <w:tc>
          <w:tcPr>
            <w:tcW w:w="1984" w:type="dxa"/>
            <w:vAlign w:val="center"/>
            <w:hideMark/>
          </w:tcPr>
          <w:p w14:paraId="7C1F7076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3730CD" w:rsidRPr="00595230" w14:paraId="73B0B3C0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3DA22675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10AA20FC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export</w:t>
            </w:r>
            <w:proofErr w:type="gramEnd"/>
          </w:p>
        </w:tc>
        <w:tc>
          <w:tcPr>
            <w:tcW w:w="4816" w:type="dxa"/>
            <w:vAlign w:val="center"/>
            <w:hideMark/>
          </w:tcPr>
          <w:p w14:paraId="69C02C26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sanguins pour sérologie IBR</w:t>
            </w:r>
          </w:p>
        </w:tc>
        <w:tc>
          <w:tcPr>
            <w:tcW w:w="1984" w:type="dxa"/>
            <w:vAlign w:val="center"/>
            <w:hideMark/>
          </w:tcPr>
          <w:p w14:paraId="0C6AAE63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3730CD" w:rsidRPr="00595230" w14:paraId="7CAA1600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5CECB7E5" w14:textId="77777777" w:rsidR="003730CD" w:rsidRPr="0077710B" w:rsidRDefault="003730CD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0057C2CF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ESB</w:t>
            </w:r>
          </w:p>
        </w:tc>
        <w:tc>
          <w:tcPr>
            <w:tcW w:w="4816" w:type="dxa"/>
            <w:vAlign w:val="center"/>
            <w:hideMark/>
          </w:tcPr>
          <w:p w14:paraId="41D920EB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de l'obex à l'équarrissage</w:t>
            </w:r>
          </w:p>
        </w:tc>
        <w:tc>
          <w:tcPr>
            <w:tcW w:w="1984" w:type="dxa"/>
            <w:vAlign w:val="center"/>
            <w:hideMark/>
          </w:tcPr>
          <w:p w14:paraId="41D0A72C" w14:textId="77777777" w:rsidR="003730CD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C66" w:rsidRPr="00595230" w14:paraId="611D729E" w14:textId="77777777" w:rsidTr="0077710B">
        <w:trPr>
          <w:trHeight w:val="539"/>
        </w:trPr>
        <w:tc>
          <w:tcPr>
            <w:tcW w:w="1862" w:type="dxa"/>
            <w:vMerge w:val="restart"/>
            <w:vAlign w:val="center"/>
            <w:hideMark/>
          </w:tcPr>
          <w:p w14:paraId="241B0818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Petits ruminants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C125191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Prophylaxie brucellose</w:t>
            </w:r>
          </w:p>
        </w:tc>
        <w:tc>
          <w:tcPr>
            <w:tcW w:w="4816" w:type="dxa"/>
            <w:tcBorders>
              <w:bottom w:val="nil"/>
            </w:tcBorders>
            <w:vAlign w:val="center"/>
            <w:hideMark/>
          </w:tcPr>
          <w:p w14:paraId="25D00124" w14:textId="77777777" w:rsidR="00950205" w:rsidRPr="0077710B" w:rsidRDefault="00950205" w:rsidP="009502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sanguins :</w:t>
            </w:r>
          </w:p>
          <w:p w14:paraId="37C89746" w14:textId="77777777" w:rsidR="00582C66" w:rsidRPr="0077710B" w:rsidRDefault="00582C66" w:rsidP="003730CD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les animaux doivent sortir tout de suite (transhumance)</w:t>
            </w:r>
            <w:r w:rsidR="00950205" w:rsidRPr="0077710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77710B">
              <w:rPr>
                <w:rFonts w:ascii="Arial" w:hAnsi="Arial" w:cs="Arial"/>
                <w:sz w:val="20"/>
                <w:szCs w:val="20"/>
              </w:rPr>
              <w:t>les prélèvements ne peuvent pas être différés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14:paraId="25602010" w14:textId="77777777" w:rsidR="00950205" w:rsidRPr="0077710B" w:rsidRDefault="00950205" w:rsidP="00373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AD229" w14:textId="77777777" w:rsidR="00582C66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582C66" w:rsidRPr="00595230" w14:paraId="173B0270" w14:textId="77777777" w:rsidTr="0077710B">
        <w:trPr>
          <w:trHeight w:val="539"/>
        </w:trPr>
        <w:tc>
          <w:tcPr>
            <w:tcW w:w="1862" w:type="dxa"/>
            <w:vMerge/>
            <w:vAlign w:val="center"/>
            <w:hideMark/>
          </w:tcPr>
          <w:p w14:paraId="41C2FDD3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0906D1A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</w:tcBorders>
            <w:vAlign w:val="center"/>
            <w:hideMark/>
          </w:tcPr>
          <w:p w14:paraId="6FB67C66" w14:textId="77777777" w:rsidR="00582C66" w:rsidRPr="0077710B" w:rsidRDefault="00950205" w:rsidP="0095020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les animaux sont accessibles dans les 3 mois qui viennent (cas des cheptels laitiers), les prélèvements et IDT peuvent être différés en cas de force majeur.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46CF3BEE" w14:textId="77777777" w:rsidR="00582C66" w:rsidRPr="0077710B" w:rsidRDefault="00572EB2" w:rsidP="00373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possible</w:t>
            </w:r>
          </w:p>
        </w:tc>
      </w:tr>
      <w:tr w:rsidR="00582C66" w:rsidRPr="00595230" w14:paraId="35A28A64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4DD94885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23BFFB3F" w14:textId="77777777" w:rsidR="00582C66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E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changes </w:t>
            </w:r>
          </w:p>
        </w:tc>
        <w:tc>
          <w:tcPr>
            <w:tcW w:w="4816" w:type="dxa"/>
            <w:vAlign w:val="center"/>
            <w:hideMark/>
          </w:tcPr>
          <w:p w14:paraId="17166D11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</w:t>
            </w:r>
            <w:r w:rsidR="00950205" w:rsidRPr="0077710B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sanguins pour sérologie brucellose</w:t>
            </w:r>
          </w:p>
        </w:tc>
        <w:tc>
          <w:tcPr>
            <w:tcW w:w="1984" w:type="dxa"/>
            <w:vAlign w:val="center"/>
            <w:hideMark/>
          </w:tcPr>
          <w:p w14:paraId="5262DC19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582C66" w:rsidRPr="00595230" w14:paraId="47FF67A9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37A3F9F7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28B95831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Tremblante</w:t>
            </w:r>
          </w:p>
        </w:tc>
        <w:tc>
          <w:tcPr>
            <w:tcW w:w="4816" w:type="dxa"/>
            <w:vAlign w:val="center"/>
            <w:hideMark/>
          </w:tcPr>
          <w:p w14:paraId="69791302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de l'obex à l'équarrissage</w:t>
            </w:r>
          </w:p>
        </w:tc>
        <w:tc>
          <w:tcPr>
            <w:tcW w:w="1984" w:type="dxa"/>
            <w:vAlign w:val="center"/>
            <w:hideMark/>
          </w:tcPr>
          <w:p w14:paraId="64DB314E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C66" w:rsidRPr="00595230" w14:paraId="16CD3DA0" w14:textId="77777777" w:rsidTr="0077710B">
        <w:trPr>
          <w:trHeight w:val="1079"/>
        </w:trPr>
        <w:tc>
          <w:tcPr>
            <w:tcW w:w="1862" w:type="dxa"/>
            <w:vMerge w:val="restart"/>
            <w:vAlign w:val="center"/>
            <w:hideMark/>
          </w:tcPr>
          <w:p w14:paraId="2C388E92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Porcs</w:t>
            </w:r>
          </w:p>
        </w:tc>
        <w:tc>
          <w:tcPr>
            <w:tcW w:w="1844" w:type="dxa"/>
            <w:vAlign w:val="center"/>
            <w:hideMark/>
          </w:tcPr>
          <w:p w14:paraId="10C23828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 xml:space="preserve">Prophylaxie </w:t>
            </w:r>
            <w:proofErr w:type="spellStart"/>
            <w:r w:rsidRPr="0077710B">
              <w:rPr>
                <w:rFonts w:ascii="Arial" w:hAnsi="Arial" w:cs="Arial"/>
                <w:sz w:val="20"/>
                <w:szCs w:val="20"/>
              </w:rPr>
              <w:t>Aujeszky</w:t>
            </w:r>
            <w:proofErr w:type="spellEnd"/>
          </w:p>
        </w:tc>
        <w:tc>
          <w:tcPr>
            <w:tcW w:w="4816" w:type="dxa"/>
            <w:vAlign w:val="center"/>
            <w:hideMark/>
          </w:tcPr>
          <w:p w14:paraId="05F10417" w14:textId="77777777" w:rsidR="0077710B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élevage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sélection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 xml:space="preserve"> multiplication</w:t>
            </w:r>
            <w:r w:rsidR="00950205" w:rsidRPr="0077710B">
              <w:rPr>
                <w:rFonts w:ascii="Arial" w:hAnsi="Arial" w:cs="Arial"/>
                <w:sz w:val="20"/>
                <w:szCs w:val="20"/>
              </w:rPr>
              <w:t xml:space="preserve"> : les prélèvements ont lieux tous les trimestres. Les élevages n’ayant pas réalisé les prélèvements du premier trimestre doivent être 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>prélevés</w:t>
            </w:r>
            <w:r w:rsidR="00950205" w:rsidRPr="007771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A36AA9E" w14:textId="77777777" w:rsidR="00582C66" w:rsidRPr="0077710B" w:rsidRDefault="00950205" w:rsidP="0077710B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 xml:space="preserve">Les autres élevages peuvent attendre la fin du 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>deuxième trimestre pour être prélevés.</w:t>
            </w:r>
          </w:p>
        </w:tc>
        <w:tc>
          <w:tcPr>
            <w:tcW w:w="1984" w:type="dxa"/>
            <w:vAlign w:val="center"/>
            <w:hideMark/>
          </w:tcPr>
          <w:p w14:paraId="6E3C3514" w14:textId="77777777" w:rsidR="00582C66" w:rsidRPr="0077710B" w:rsidRDefault="00582C66" w:rsidP="007771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582C66" w:rsidRPr="00595230" w14:paraId="45BBAD06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5AC1D241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58ABEB1E" w14:textId="77777777" w:rsidR="00582C66" w:rsidRPr="0077710B" w:rsidRDefault="003730CD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rophylaxie PPC </w:t>
            </w:r>
          </w:p>
        </w:tc>
        <w:tc>
          <w:tcPr>
            <w:tcW w:w="4816" w:type="dxa"/>
            <w:vAlign w:val="center"/>
            <w:hideMark/>
          </w:tcPr>
          <w:p w14:paraId="5667C021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prélèvements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qui peuvent être différés </w:t>
            </w:r>
          </w:p>
        </w:tc>
        <w:tc>
          <w:tcPr>
            <w:tcW w:w="1984" w:type="dxa"/>
            <w:vAlign w:val="center"/>
            <w:hideMark/>
          </w:tcPr>
          <w:p w14:paraId="654290D8" w14:textId="77777777" w:rsidR="00582C66" w:rsidRPr="0077710B" w:rsidRDefault="00572EB2" w:rsidP="00674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possible</w:t>
            </w:r>
          </w:p>
        </w:tc>
      </w:tr>
      <w:tr w:rsidR="00582C66" w:rsidRPr="00595230" w14:paraId="6C813A4B" w14:textId="77777777" w:rsidTr="0077710B">
        <w:trPr>
          <w:trHeight w:val="808"/>
        </w:trPr>
        <w:tc>
          <w:tcPr>
            <w:tcW w:w="1862" w:type="dxa"/>
            <w:vMerge w:val="restart"/>
            <w:vAlign w:val="center"/>
            <w:hideMark/>
          </w:tcPr>
          <w:p w14:paraId="4BE99100" w14:textId="77777777" w:rsidR="00582C66" w:rsidRPr="0077710B" w:rsidRDefault="00582C66" w:rsidP="00373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Volailles</w:t>
            </w:r>
          </w:p>
        </w:tc>
        <w:tc>
          <w:tcPr>
            <w:tcW w:w="1844" w:type="dxa"/>
            <w:vAlign w:val="center"/>
            <w:hideMark/>
          </w:tcPr>
          <w:p w14:paraId="5A6C9453" w14:textId="77777777" w:rsidR="00582C66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S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>urveillance programmée salmonelles en filière ponte, repro et chair</w:t>
            </w:r>
          </w:p>
        </w:tc>
        <w:tc>
          <w:tcPr>
            <w:tcW w:w="4816" w:type="dxa"/>
            <w:vAlign w:val="center"/>
            <w:hideMark/>
          </w:tcPr>
          <w:p w14:paraId="12832080" w14:textId="77777777" w:rsidR="00582C66" w:rsidRPr="0077710B" w:rsidRDefault="0077710B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 mainten</w:t>
            </w:r>
            <w:r w:rsidRPr="0077710B">
              <w:rPr>
                <w:rFonts w:ascii="Arial" w:hAnsi="Arial" w:cs="Arial"/>
                <w:sz w:val="20"/>
                <w:szCs w:val="20"/>
              </w:rPr>
              <w:t>ir sans dérogation</w:t>
            </w:r>
          </w:p>
        </w:tc>
        <w:tc>
          <w:tcPr>
            <w:tcW w:w="1984" w:type="dxa"/>
            <w:vAlign w:val="center"/>
            <w:hideMark/>
          </w:tcPr>
          <w:p w14:paraId="4B829B00" w14:textId="77777777" w:rsidR="00582C66" w:rsidRPr="0077710B" w:rsidRDefault="00582C66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C66" w:rsidRPr="00595230" w14:paraId="6C739D31" w14:textId="77777777" w:rsidTr="0077710B">
        <w:trPr>
          <w:trHeight w:val="269"/>
        </w:trPr>
        <w:tc>
          <w:tcPr>
            <w:tcW w:w="1862" w:type="dxa"/>
            <w:vMerge/>
            <w:vAlign w:val="center"/>
            <w:hideMark/>
          </w:tcPr>
          <w:p w14:paraId="34A653A5" w14:textId="77777777" w:rsidR="00582C66" w:rsidRPr="0077710B" w:rsidRDefault="00582C66" w:rsidP="00373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6BE3B948" w14:textId="77777777" w:rsidR="00582C66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E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changes </w:t>
            </w:r>
          </w:p>
        </w:tc>
        <w:tc>
          <w:tcPr>
            <w:tcW w:w="4816" w:type="dxa"/>
            <w:vAlign w:val="center"/>
            <w:hideMark/>
          </w:tcPr>
          <w:p w14:paraId="1A47DEEB" w14:textId="77777777" w:rsidR="00582C66" w:rsidRPr="0077710B" w:rsidRDefault="0077710B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>almonelles</w:t>
            </w:r>
            <w:proofErr w:type="gramEnd"/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="00582C66" w:rsidRPr="0077710B">
              <w:rPr>
                <w:rFonts w:ascii="Arial" w:hAnsi="Arial" w:cs="Arial"/>
                <w:sz w:val="20"/>
                <w:szCs w:val="20"/>
              </w:rPr>
              <w:t>mycoplasma</w:t>
            </w:r>
            <w:proofErr w:type="spellEnd"/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523F963E" w14:textId="77777777" w:rsidR="00582C66" w:rsidRPr="0077710B" w:rsidRDefault="00582C66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582C66" w:rsidRPr="00595230" w14:paraId="2797D8C3" w14:textId="77777777" w:rsidTr="0077710B">
        <w:trPr>
          <w:trHeight w:val="539"/>
        </w:trPr>
        <w:tc>
          <w:tcPr>
            <w:tcW w:w="1862" w:type="dxa"/>
            <w:vAlign w:val="center"/>
            <w:hideMark/>
          </w:tcPr>
          <w:p w14:paraId="2A624462" w14:textId="77777777" w:rsidR="00582C66" w:rsidRPr="0077710B" w:rsidRDefault="00582C66" w:rsidP="00373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Centres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 xml:space="preserve"> de collecte de produits germinaux</w:t>
            </w:r>
          </w:p>
        </w:tc>
        <w:tc>
          <w:tcPr>
            <w:tcW w:w="1844" w:type="dxa"/>
            <w:vAlign w:val="center"/>
            <w:hideMark/>
          </w:tcPr>
          <w:p w14:paraId="16E62684" w14:textId="77777777" w:rsidR="00582C66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C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>ontrôles officiels sur les animaux donneurs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 xml:space="preserve"> et produits germinaux</w:t>
            </w:r>
          </w:p>
        </w:tc>
        <w:tc>
          <w:tcPr>
            <w:tcW w:w="4816" w:type="dxa"/>
            <w:vAlign w:val="center"/>
            <w:hideMark/>
          </w:tcPr>
          <w:p w14:paraId="1660514D" w14:textId="77777777" w:rsidR="00582C66" w:rsidRPr="0077710B" w:rsidRDefault="0077710B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 maintenir sans dérogation </w:t>
            </w:r>
          </w:p>
        </w:tc>
        <w:tc>
          <w:tcPr>
            <w:tcW w:w="1984" w:type="dxa"/>
            <w:vAlign w:val="center"/>
            <w:hideMark/>
          </w:tcPr>
          <w:p w14:paraId="081BA50F" w14:textId="77777777" w:rsidR="00582C66" w:rsidRPr="0077710B" w:rsidRDefault="00582C66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</w:p>
        </w:tc>
      </w:tr>
      <w:tr w:rsidR="00582C66" w:rsidRPr="00595230" w14:paraId="04ED125C" w14:textId="77777777" w:rsidTr="0077710B">
        <w:trPr>
          <w:trHeight w:val="539"/>
        </w:trPr>
        <w:tc>
          <w:tcPr>
            <w:tcW w:w="1862" w:type="dxa"/>
            <w:vAlign w:val="center"/>
            <w:hideMark/>
          </w:tcPr>
          <w:p w14:paraId="0763800B" w14:textId="77777777" w:rsidR="00582C66" w:rsidRPr="0077710B" w:rsidRDefault="00582C66" w:rsidP="00373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Aquaculture et conchyliculture</w:t>
            </w:r>
          </w:p>
        </w:tc>
        <w:tc>
          <w:tcPr>
            <w:tcW w:w="1844" w:type="dxa"/>
            <w:vAlign w:val="center"/>
            <w:hideMark/>
          </w:tcPr>
          <w:p w14:paraId="0F33D940" w14:textId="77777777" w:rsidR="00582C66" w:rsidRPr="0077710B" w:rsidRDefault="003730CD" w:rsidP="003730CD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S</w:t>
            </w:r>
            <w:r w:rsidR="00582C66" w:rsidRPr="0077710B">
              <w:rPr>
                <w:rFonts w:ascii="Arial" w:hAnsi="Arial" w:cs="Arial"/>
                <w:sz w:val="20"/>
                <w:szCs w:val="20"/>
              </w:rPr>
              <w:t>urveillance programmée</w:t>
            </w:r>
          </w:p>
        </w:tc>
        <w:tc>
          <w:tcPr>
            <w:tcW w:w="4816" w:type="dxa"/>
            <w:vAlign w:val="center"/>
            <w:hideMark/>
          </w:tcPr>
          <w:p w14:paraId="53222904" w14:textId="77777777" w:rsidR="00582C66" w:rsidRPr="0077710B" w:rsidRDefault="00582C66" w:rsidP="003730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surveillance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710B">
              <w:rPr>
                <w:rFonts w:ascii="Arial" w:hAnsi="Arial" w:cs="Arial"/>
                <w:sz w:val="20"/>
                <w:szCs w:val="20"/>
              </w:rPr>
              <w:t>zoosanitaire</w:t>
            </w:r>
            <w:proofErr w:type="spellEnd"/>
            <w:r w:rsidRPr="0077710B">
              <w:rPr>
                <w:rFonts w:ascii="Arial" w:hAnsi="Arial" w:cs="Arial"/>
                <w:sz w:val="20"/>
                <w:szCs w:val="20"/>
              </w:rPr>
              <w:t xml:space="preserve"> à reporter</w:t>
            </w:r>
          </w:p>
        </w:tc>
        <w:tc>
          <w:tcPr>
            <w:tcW w:w="1984" w:type="dxa"/>
            <w:vAlign w:val="center"/>
            <w:hideMark/>
          </w:tcPr>
          <w:p w14:paraId="608C6434" w14:textId="77777777" w:rsidR="00582C66" w:rsidRPr="0077710B" w:rsidRDefault="00572EB2" w:rsidP="00373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possible</w:t>
            </w:r>
          </w:p>
        </w:tc>
      </w:tr>
      <w:tr w:rsidR="00582C66" w:rsidRPr="00595230" w14:paraId="361EF021" w14:textId="77777777" w:rsidTr="0077710B">
        <w:trPr>
          <w:trHeight w:val="1079"/>
        </w:trPr>
        <w:tc>
          <w:tcPr>
            <w:tcW w:w="1862" w:type="dxa"/>
            <w:vAlign w:val="center"/>
            <w:hideMark/>
          </w:tcPr>
          <w:p w14:paraId="15E60361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Surveillance évènementielle, suivi des suspicions, gestion des foyers</w:t>
            </w:r>
          </w:p>
        </w:tc>
        <w:tc>
          <w:tcPr>
            <w:tcW w:w="1844" w:type="dxa"/>
            <w:hideMark/>
          </w:tcPr>
          <w:p w14:paraId="341C5D4E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6" w:type="dxa"/>
            <w:vAlign w:val="center"/>
            <w:hideMark/>
          </w:tcPr>
          <w:p w14:paraId="3F345499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autopsies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>, prélèvements, enquête épidémiologique</w:t>
            </w:r>
          </w:p>
        </w:tc>
        <w:tc>
          <w:tcPr>
            <w:tcW w:w="1984" w:type="dxa"/>
            <w:vAlign w:val="center"/>
            <w:hideMark/>
          </w:tcPr>
          <w:p w14:paraId="559E5490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prioritaire</w:t>
            </w:r>
            <w:proofErr w:type="gramEnd"/>
            <w:r w:rsidRPr="0077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C66" w:rsidRPr="00595230" w14:paraId="0C929883" w14:textId="77777777" w:rsidTr="0077710B">
        <w:trPr>
          <w:trHeight w:val="539"/>
        </w:trPr>
        <w:tc>
          <w:tcPr>
            <w:tcW w:w="1862" w:type="dxa"/>
            <w:vAlign w:val="center"/>
            <w:hideMark/>
          </w:tcPr>
          <w:p w14:paraId="5BEEF755" w14:textId="77777777" w:rsidR="00582C66" w:rsidRPr="0077710B" w:rsidRDefault="00582C66" w:rsidP="00674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Apicole</w:t>
            </w:r>
          </w:p>
        </w:tc>
        <w:tc>
          <w:tcPr>
            <w:tcW w:w="1844" w:type="dxa"/>
            <w:hideMark/>
          </w:tcPr>
          <w:p w14:paraId="79934D72" w14:textId="77777777" w:rsidR="00582C66" w:rsidRPr="0077710B" w:rsidRDefault="00582C66" w:rsidP="00674396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Mortalité massive aigue des abeilles, OMAA</w:t>
            </w:r>
          </w:p>
        </w:tc>
        <w:tc>
          <w:tcPr>
            <w:tcW w:w="4816" w:type="dxa"/>
            <w:vAlign w:val="center"/>
            <w:hideMark/>
          </w:tcPr>
          <w:p w14:paraId="230EF8E4" w14:textId="77777777" w:rsidR="00582C66" w:rsidRPr="0077710B" w:rsidRDefault="0077710B" w:rsidP="006743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710B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582C66" w:rsidRPr="0077710B">
              <w:rPr>
                <w:rFonts w:ascii="Arial" w:hAnsi="Arial" w:cs="Arial"/>
                <w:sz w:val="20"/>
                <w:szCs w:val="20"/>
              </w:rPr>
              <w:t xml:space="preserve"> maintenir</w:t>
            </w:r>
          </w:p>
        </w:tc>
        <w:tc>
          <w:tcPr>
            <w:tcW w:w="1984" w:type="dxa"/>
            <w:vAlign w:val="center"/>
            <w:hideMark/>
          </w:tcPr>
          <w:p w14:paraId="106EFAA7" w14:textId="77777777" w:rsidR="00582C66" w:rsidRPr="0077710B" w:rsidRDefault="00582C66" w:rsidP="0077710B">
            <w:pPr>
              <w:rPr>
                <w:rFonts w:ascii="Arial" w:hAnsi="Arial" w:cs="Arial"/>
                <w:sz w:val="20"/>
                <w:szCs w:val="20"/>
              </w:rPr>
            </w:pPr>
            <w:r w:rsidRPr="0077710B">
              <w:rPr>
                <w:rFonts w:ascii="Arial" w:hAnsi="Arial" w:cs="Arial"/>
                <w:sz w:val="20"/>
                <w:szCs w:val="20"/>
              </w:rPr>
              <w:t>P</w:t>
            </w:r>
            <w:r w:rsidR="0077710B" w:rsidRPr="0077710B">
              <w:rPr>
                <w:rFonts w:ascii="Arial" w:hAnsi="Arial" w:cs="Arial"/>
                <w:sz w:val="20"/>
                <w:szCs w:val="20"/>
              </w:rPr>
              <w:t>rioritaire</w:t>
            </w:r>
          </w:p>
        </w:tc>
      </w:tr>
    </w:tbl>
    <w:p w14:paraId="6EF183C6" w14:textId="77777777" w:rsidR="00582C66" w:rsidRPr="00294C6D" w:rsidRDefault="00582C66" w:rsidP="0077710B">
      <w:pPr>
        <w:rPr>
          <w:rFonts w:ascii="Arial" w:hAnsi="Arial" w:cs="Arial"/>
          <w:sz w:val="20"/>
          <w:szCs w:val="20"/>
        </w:rPr>
      </w:pPr>
    </w:p>
    <w:sectPr w:rsidR="00582C66" w:rsidRPr="00294C6D" w:rsidSect="008E3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155"/>
    <w:multiLevelType w:val="hybridMultilevel"/>
    <w:tmpl w:val="034CE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CE4"/>
    <w:multiLevelType w:val="hybridMultilevel"/>
    <w:tmpl w:val="3C3E8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A0806"/>
    <w:multiLevelType w:val="hybridMultilevel"/>
    <w:tmpl w:val="74EA9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655"/>
    <w:multiLevelType w:val="hybridMultilevel"/>
    <w:tmpl w:val="E9DE7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6"/>
    <w:rsid w:val="003730CD"/>
    <w:rsid w:val="003A44BA"/>
    <w:rsid w:val="00572EB2"/>
    <w:rsid w:val="00582C66"/>
    <w:rsid w:val="00747166"/>
    <w:rsid w:val="0077710B"/>
    <w:rsid w:val="00950205"/>
    <w:rsid w:val="00A66FAF"/>
    <w:rsid w:val="00C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91ED"/>
  <w15:chartTrackingRefBased/>
  <w15:docId w15:val="{E6C7CAFD-9ECA-4AA0-BD5E-9217348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AC1F-7B81-41F8-913F-554A51A4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GOEURIOT</dc:creator>
  <cp:keywords/>
  <dc:description/>
  <cp:lastModifiedBy>GTV</cp:lastModifiedBy>
  <cp:revision>2</cp:revision>
  <dcterms:created xsi:type="dcterms:W3CDTF">2020-03-25T08:01:00Z</dcterms:created>
  <dcterms:modified xsi:type="dcterms:W3CDTF">2020-03-25T08:01:00Z</dcterms:modified>
</cp:coreProperties>
</file>